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AA" w:rsidRDefault="001F0BAA" w:rsidP="001F0BAA">
      <w:pPr>
        <w:ind w:firstLine="240"/>
        <w:jc w:val="center"/>
        <w:rPr>
          <w:rFonts w:ascii="Bookman Old Style" w:hAnsi="Bookman Old Style"/>
          <w:b/>
          <w:sz w:val="22"/>
          <w:szCs w:val="22"/>
        </w:rPr>
      </w:pPr>
    </w:p>
    <w:p w:rsidR="001F0BAA" w:rsidRDefault="001F0BAA" w:rsidP="001F0BAA">
      <w:pPr>
        <w:ind w:firstLine="240"/>
        <w:jc w:val="center"/>
        <w:rPr>
          <w:sz w:val="28"/>
          <w:szCs w:val="28"/>
        </w:rPr>
      </w:pPr>
    </w:p>
    <w:p w:rsidR="001F0BAA" w:rsidRDefault="001F0BAA" w:rsidP="001F0BAA">
      <w:pPr>
        <w:ind w:firstLine="2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1581150" cy="119062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</w:t>
      </w:r>
    </w:p>
    <w:p w:rsidR="001F0BAA" w:rsidRPr="00493EAD" w:rsidRDefault="001F0BAA" w:rsidP="001F0BAA">
      <w:pPr>
        <w:ind w:firstLine="24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</w:t>
      </w:r>
      <w:bookmarkStart w:id="0" w:name="_Hlk6910991"/>
      <w:r w:rsidRPr="00493EAD">
        <w:rPr>
          <w:rFonts w:ascii="Bookman Old Style" w:hAnsi="Bookman Old Style"/>
          <w:b/>
          <w:szCs w:val="24"/>
        </w:rPr>
        <w:t xml:space="preserve">„ JARNÝ ZBER OBJEMNÉHO ODPADU                     </w:t>
      </w:r>
      <w:bookmarkEnd w:id="0"/>
    </w:p>
    <w:p w:rsidR="001F0BAA" w:rsidRPr="00493EAD" w:rsidRDefault="001F0BAA" w:rsidP="001F0BAA">
      <w:pPr>
        <w:ind w:firstLine="240"/>
        <w:rPr>
          <w:rFonts w:ascii="Bookman Old Style" w:hAnsi="Bookman Old Style"/>
          <w:b/>
          <w:szCs w:val="24"/>
        </w:rPr>
      </w:pPr>
      <w:r w:rsidRPr="00493EAD">
        <w:rPr>
          <w:rFonts w:ascii="Bookman Old Style" w:hAnsi="Bookman Old Style"/>
          <w:b/>
          <w:szCs w:val="24"/>
        </w:rPr>
        <w:t xml:space="preserve">                                            Z</w:t>
      </w:r>
      <w:r w:rsidR="00493EAD" w:rsidRPr="00493EAD">
        <w:rPr>
          <w:rFonts w:ascii="Bookman Old Style" w:hAnsi="Bookman Old Style"/>
          <w:b/>
          <w:szCs w:val="24"/>
        </w:rPr>
        <w:t> </w:t>
      </w:r>
      <w:r w:rsidRPr="00493EAD">
        <w:rPr>
          <w:rFonts w:ascii="Bookman Old Style" w:hAnsi="Bookman Old Style"/>
          <w:b/>
          <w:szCs w:val="24"/>
        </w:rPr>
        <w:t>DOMÁCNOSTÍ</w:t>
      </w:r>
      <w:r w:rsidR="00493EAD" w:rsidRPr="00493EAD">
        <w:rPr>
          <w:rFonts w:ascii="Bookman Old Style" w:hAnsi="Bookman Old Style"/>
          <w:b/>
          <w:szCs w:val="24"/>
        </w:rPr>
        <w:t xml:space="preserve"> A ŽELEZNÉHO ŠROTU</w:t>
      </w:r>
      <w:r w:rsidRPr="00493EAD">
        <w:rPr>
          <w:rFonts w:ascii="Bookman Old Style" w:hAnsi="Bookman Old Style"/>
          <w:b/>
          <w:szCs w:val="24"/>
        </w:rPr>
        <w:t>“</w:t>
      </w:r>
    </w:p>
    <w:p w:rsidR="001F0BAA" w:rsidRPr="000D0E98" w:rsidRDefault="001F0BAA" w:rsidP="001F0BAA">
      <w:pPr>
        <w:ind w:firstLine="240"/>
        <w:jc w:val="center"/>
        <w:rPr>
          <w:rFonts w:ascii="Bookman Old Style" w:hAnsi="Bookman Old Style"/>
          <w:b/>
          <w:sz w:val="22"/>
          <w:szCs w:val="22"/>
        </w:rPr>
      </w:pPr>
    </w:p>
    <w:p w:rsidR="001F0BAA" w:rsidRDefault="001F0BAA" w:rsidP="001F0BAA">
      <w:pPr>
        <w:jc w:val="both"/>
        <w:rPr>
          <w:rFonts w:ascii="Bookman Old Style" w:hAnsi="Bookman Old Style"/>
          <w:sz w:val="22"/>
          <w:szCs w:val="22"/>
        </w:rPr>
      </w:pPr>
      <w:r w:rsidRPr="000D0E98">
        <w:rPr>
          <w:rFonts w:ascii="Bookman Old Style" w:hAnsi="Bookman Old Style"/>
          <w:sz w:val="22"/>
          <w:szCs w:val="22"/>
        </w:rPr>
        <w:t xml:space="preserve">                                    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1F0BAA" w:rsidRDefault="001F0BAA" w:rsidP="008B4C51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</w:t>
      </w:r>
      <w:r w:rsidRPr="000D0E9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D0E98">
        <w:rPr>
          <w:rFonts w:ascii="Bookman Old Style" w:hAnsi="Bookman Old Style"/>
          <w:sz w:val="22"/>
          <w:szCs w:val="22"/>
        </w:rPr>
        <w:t xml:space="preserve"> Obecný  úrad  Zamarovce  oznamuje  občanom,</w:t>
      </w:r>
      <w:r w:rsidR="008B4C51">
        <w:rPr>
          <w:rFonts w:ascii="Bookman Old Style" w:hAnsi="Bookman Old Style"/>
          <w:sz w:val="22"/>
          <w:szCs w:val="22"/>
        </w:rPr>
        <w:t xml:space="preserve"> </w:t>
      </w:r>
      <w:r w:rsidRPr="000D0E98">
        <w:rPr>
          <w:rFonts w:ascii="Bookman Old Style" w:hAnsi="Bookman Old Style"/>
          <w:sz w:val="22"/>
          <w:szCs w:val="22"/>
        </w:rPr>
        <w:t xml:space="preserve">že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1F0BAA" w:rsidRPr="000D0E98" w:rsidRDefault="001F0BAA" w:rsidP="008B4C5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</w:t>
      </w:r>
      <w:r w:rsidR="008B4C51">
        <w:rPr>
          <w:rFonts w:ascii="Bookman Old Style" w:hAnsi="Bookman Old Style"/>
          <w:sz w:val="22"/>
          <w:szCs w:val="22"/>
        </w:rPr>
        <w:t xml:space="preserve">  </w:t>
      </w:r>
      <w:r w:rsidR="00531862">
        <w:rPr>
          <w:rFonts w:ascii="Bookman Old Style" w:hAnsi="Bookman Old Style"/>
          <w:sz w:val="22"/>
          <w:szCs w:val="22"/>
        </w:rPr>
        <w:t>d</w:t>
      </w:r>
      <w:r w:rsidRPr="000D0E98">
        <w:rPr>
          <w:rFonts w:ascii="Bookman Old Style" w:hAnsi="Bookman Old Style"/>
          <w:sz w:val="22"/>
          <w:szCs w:val="22"/>
        </w:rPr>
        <w:t>ň</w:t>
      </w:r>
      <w:r w:rsidR="00531862">
        <w:rPr>
          <w:rFonts w:ascii="Bookman Old Style" w:hAnsi="Bookman Old Style"/>
          <w:sz w:val="22"/>
          <w:szCs w:val="22"/>
        </w:rPr>
        <w:t xml:space="preserve">a </w:t>
      </w:r>
      <w:r w:rsidR="00531862">
        <w:rPr>
          <w:rFonts w:ascii="Bookman Old Style" w:hAnsi="Bookman Old Style"/>
          <w:b/>
          <w:sz w:val="22"/>
          <w:szCs w:val="22"/>
        </w:rPr>
        <w:t>02</w:t>
      </w:r>
      <w:r w:rsidRPr="000D0E98">
        <w:rPr>
          <w:rFonts w:ascii="Bookman Old Style" w:hAnsi="Bookman Old Style"/>
          <w:b/>
          <w:sz w:val="22"/>
          <w:szCs w:val="22"/>
        </w:rPr>
        <w:t xml:space="preserve">. </w:t>
      </w:r>
      <w:r w:rsidR="00531862">
        <w:rPr>
          <w:rFonts w:ascii="Bookman Old Style" w:hAnsi="Bookman Old Style"/>
          <w:b/>
          <w:sz w:val="22"/>
          <w:szCs w:val="22"/>
        </w:rPr>
        <w:t>mája</w:t>
      </w:r>
      <w:r w:rsidRPr="000D0E98">
        <w:rPr>
          <w:rFonts w:ascii="Bookman Old Style" w:hAnsi="Bookman Old Style"/>
          <w:b/>
          <w:sz w:val="22"/>
          <w:szCs w:val="22"/>
        </w:rPr>
        <w:t xml:space="preserve"> 201</w:t>
      </w:r>
      <w:r w:rsidR="00531862">
        <w:rPr>
          <w:rFonts w:ascii="Bookman Old Style" w:hAnsi="Bookman Old Style"/>
          <w:b/>
          <w:sz w:val="22"/>
          <w:szCs w:val="22"/>
        </w:rPr>
        <w:t>9</w:t>
      </w:r>
      <w:r w:rsidRPr="000D0E98">
        <w:rPr>
          <w:rFonts w:ascii="Bookman Old Style" w:hAnsi="Bookman Old Style"/>
          <w:b/>
          <w:sz w:val="22"/>
          <w:szCs w:val="22"/>
        </w:rPr>
        <w:t xml:space="preserve"> (štvrtok)</w:t>
      </w:r>
      <w:r w:rsidRPr="000D0E98">
        <w:rPr>
          <w:rFonts w:ascii="Bookman Old Style" w:hAnsi="Bookman Old Style"/>
          <w:sz w:val="22"/>
          <w:szCs w:val="22"/>
        </w:rPr>
        <w:t xml:space="preserve"> budú v obci Zamarovce na vybratých miestach pristavené </w:t>
      </w:r>
      <w:r w:rsidR="00531862">
        <w:rPr>
          <w:rFonts w:ascii="Bookman Old Style" w:hAnsi="Bookman Old Style"/>
          <w:sz w:val="22"/>
          <w:szCs w:val="22"/>
        </w:rPr>
        <w:t xml:space="preserve">2 kusy </w:t>
      </w:r>
      <w:r w:rsidRPr="000D0E98">
        <w:rPr>
          <w:rFonts w:ascii="Bookman Old Style" w:hAnsi="Bookman Old Style"/>
          <w:sz w:val="22"/>
          <w:szCs w:val="22"/>
        </w:rPr>
        <w:t>veľkoobjemov</w:t>
      </w:r>
      <w:r w:rsidR="00531862">
        <w:rPr>
          <w:rFonts w:ascii="Bookman Old Style" w:hAnsi="Bookman Old Style"/>
          <w:sz w:val="22"/>
          <w:szCs w:val="22"/>
        </w:rPr>
        <w:t>ých</w:t>
      </w:r>
      <w:r w:rsidRPr="000D0E98">
        <w:rPr>
          <w:rFonts w:ascii="Bookman Old Style" w:hAnsi="Bookman Old Style"/>
          <w:sz w:val="22"/>
          <w:szCs w:val="22"/>
        </w:rPr>
        <w:t xml:space="preserve"> kontajner</w:t>
      </w:r>
      <w:r w:rsidR="00531862">
        <w:rPr>
          <w:rFonts w:ascii="Bookman Old Style" w:hAnsi="Bookman Old Style"/>
          <w:sz w:val="22"/>
          <w:szCs w:val="22"/>
        </w:rPr>
        <w:t>ov</w:t>
      </w:r>
      <w:r w:rsidR="008B4C51">
        <w:rPr>
          <w:rFonts w:ascii="Bookman Old Style" w:hAnsi="Bookman Old Style"/>
          <w:sz w:val="22"/>
          <w:szCs w:val="22"/>
        </w:rPr>
        <w:t xml:space="preserve"> – 7m</w:t>
      </w:r>
      <w:r w:rsidR="008B4C51">
        <w:rPr>
          <w:rFonts w:ascii="Bookman Old Style" w:hAnsi="Bookman Old Style"/>
          <w:sz w:val="22"/>
          <w:szCs w:val="22"/>
          <w:vertAlign w:val="superscript"/>
        </w:rPr>
        <w:t>3</w:t>
      </w:r>
      <w:r w:rsidRPr="000D0E98">
        <w:rPr>
          <w:rFonts w:ascii="Bookman Old Style" w:hAnsi="Bookman Old Style"/>
          <w:sz w:val="22"/>
          <w:szCs w:val="22"/>
        </w:rPr>
        <w:t>, aby do nich mohli občania ukladať odpad v rámci jarného upratovania. Objemný odpad predstavuje nepotrebné, opotrebované, zastarané veci, ktor</w:t>
      </w:r>
      <w:r w:rsidR="008B4C51">
        <w:rPr>
          <w:rFonts w:ascii="Bookman Old Style" w:hAnsi="Bookman Old Style"/>
          <w:sz w:val="22"/>
          <w:szCs w:val="22"/>
        </w:rPr>
        <w:t>é sa nezmestia do 120l zberných nádob</w:t>
      </w:r>
      <w:r w:rsidR="00FD1709">
        <w:rPr>
          <w:rFonts w:ascii="Bookman Old Style" w:hAnsi="Bookman Old Style"/>
          <w:sz w:val="22"/>
          <w:szCs w:val="22"/>
        </w:rPr>
        <w:t xml:space="preserve"> ako napr. </w:t>
      </w:r>
      <w:r w:rsidR="00FD1709" w:rsidRPr="00FD1709">
        <w:rPr>
          <w:rFonts w:ascii="Bookman Old Style" w:hAnsi="Bookman Old Style"/>
          <w:b/>
          <w:sz w:val="22"/>
          <w:szCs w:val="22"/>
        </w:rPr>
        <w:t xml:space="preserve">nábytok, koberce, </w:t>
      </w:r>
      <w:proofErr w:type="spellStart"/>
      <w:r w:rsidR="00FD1709" w:rsidRPr="00FD1709">
        <w:rPr>
          <w:rFonts w:ascii="Bookman Old Style" w:hAnsi="Bookman Old Style"/>
          <w:b/>
          <w:sz w:val="22"/>
          <w:szCs w:val="22"/>
        </w:rPr>
        <w:t>sanita</w:t>
      </w:r>
      <w:proofErr w:type="spellEnd"/>
      <w:r w:rsidR="00FD1709" w:rsidRPr="00FD1709">
        <w:rPr>
          <w:rFonts w:ascii="Bookman Old Style" w:hAnsi="Bookman Old Style"/>
          <w:b/>
          <w:sz w:val="22"/>
          <w:szCs w:val="22"/>
        </w:rPr>
        <w:t>, linoleá a pod</w:t>
      </w:r>
      <w:r w:rsidR="00FD1709">
        <w:rPr>
          <w:rFonts w:ascii="Bookman Old Style" w:hAnsi="Bookman Old Style"/>
          <w:sz w:val="22"/>
          <w:szCs w:val="22"/>
        </w:rPr>
        <w:t>.</w:t>
      </w:r>
      <w:r w:rsidRPr="000D0E98">
        <w:rPr>
          <w:rFonts w:ascii="Bookman Old Style" w:hAnsi="Bookman Old Style"/>
          <w:sz w:val="22"/>
          <w:szCs w:val="22"/>
        </w:rPr>
        <w:t xml:space="preserve"> Kontajnery budú umiestnené na 2 miestach v obci:</w:t>
      </w:r>
    </w:p>
    <w:p w:rsidR="001F0BAA" w:rsidRPr="000D0E98" w:rsidRDefault="001F0BAA" w:rsidP="001F0BAA">
      <w:pPr>
        <w:ind w:firstLine="240"/>
        <w:jc w:val="both"/>
        <w:rPr>
          <w:rFonts w:ascii="Bookman Old Style" w:hAnsi="Bookman Old Style"/>
          <w:sz w:val="22"/>
          <w:szCs w:val="22"/>
        </w:rPr>
      </w:pPr>
    </w:p>
    <w:p w:rsidR="001F0BAA" w:rsidRPr="000D0E98" w:rsidRDefault="001F0BAA" w:rsidP="001F0BAA">
      <w:pPr>
        <w:ind w:firstLine="240"/>
        <w:jc w:val="both"/>
        <w:rPr>
          <w:rFonts w:ascii="Bookman Old Style" w:hAnsi="Bookman Old Style"/>
          <w:sz w:val="22"/>
          <w:szCs w:val="22"/>
        </w:rPr>
      </w:pPr>
      <w:r w:rsidRPr="000D0E98">
        <w:rPr>
          <w:rFonts w:ascii="Bookman Old Style" w:hAnsi="Bookman Old Style"/>
          <w:sz w:val="22"/>
          <w:szCs w:val="22"/>
        </w:rPr>
        <w:sym w:font="Wingdings" w:char="F0E8"/>
      </w:r>
      <w:r w:rsidRPr="000D0E98">
        <w:rPr>
          <w:rFonts w:ascii="Bookman Old Style" w:hAnsi="Bookman Old Style"/>
          <w:sz w:val="22"/>
          <w:szCs w:val="22"/>
        </w:rPr>
        <w:t xml:space="preserve"> </w:t>
      </w:r>
      <w:r w:rsidRPr="000D0E98">
        <w:rPr>
          <w:rFonts w:ascii="Bookman Old Style" w:hAnsi="Bookman Old Style"/>
          <w:b/>
          <w:sz w:val="22"/>
          <w:szCs w:val="22"/>
        </w:rPr>
        <w:t xml:space="preserve">Dolný koniec – pri zastávke </w:t>
      </w:r>
      <w:r w:rsidR="00FD1709">
        <w:rPr>
          <w:rFonts w:ascii="Bookman Old Style" w:hAnsi="Bookman Old Style"/>
          <w:b/>
          <w:sz w:val="22"/>
          <w:szCs w:val="22"/>
        </w:rPr>
        <w:t xml:space="preserve">BUS </w:t>
      </w:r>
      <w:r w:rsidRPr="000D0E98">
        <w:rPr>
          <w:rFonts w:ascii="Bookman Old Style" w:hAnsi="Bookman Old Style"/>
          <w:b/>
          <w:sz w:val="22"/>
          <w:szCs w:val="22"/>
        </w:rPr>
        <w:t xml:space="preserve">na </w:t>
      </w:r>
      <w:proofErr w:type="spellStart"/>
      <w:r w:rsidR="00FD1709">
        <w:rPr>
          <w:rFonts w:ascii="Bookman Old Style" w:hAnsi="Bookman Old Style"/>
          <w:b/>
          <w:sz w:val="22"/>
          <w:szCs w:val="22"/>
        </w:rPr>
        <w:t>U</w:t>
      </w:r>
      <w:r w:rsidRPr="000D0E98">
        <w:rPr>
          <w:rFonts w:ascii="Bookman Old Style" w:hAnsi="Bookman Old Style"/>
          <w:b/>
          <w:sz w:val="22"/>
          <w:szCs w:val="22"/>
        </w:rPr>
        <w:t>l.Zamarovská</w:t>
      </w:r>
      <w:proofErr w:type="spellEnd"/>
    </w:p>
    <w:p w:rsidR="001F0BAA" w:rsidRPr="000D0E98" w:rsidRDefault="001F0BAA" w:rsidP="001F0BAA">
      <w:pPr>
        <w:ind w:firstLine="240"/>
        <w:jc w:val="both"/>
        <w:rPr>
          <w:rFonts w:ascii="Bookman Old Style" w:hAnsi="Bookman Old Style"/>
          <w:b/>
          <w:sz w:val="22"/>
          <w:szCs w:val="22"/>
        </w:rPr>
      </w:pPr>
      <w:r w:rsidRPr="000D0E98">
        <w:rPr>
          <w:rFonts w:ascii="Bookman Old Style" w:hAnsi="Bookman Old Style"/>
          <w:sz w:val="22"/>
          <w:szCs w:val="22"/>
        </w:rPr>
        <w:sym w:font="Wingdings" w:char="F0E8"/>
      </w:r>
      <w:r w:rsidRPr="000D0E98">
        <w:rPr>
          <w:rFonts w:ascii="Bookman Old Style" w:hAnsi="Bookman Old Style"/>
          <w:sz w:val="22"/>
          <w:szCs w:val="22"/>
        </w:rPr>
        <w:t xml:space="preserve"> </w:t>
      </w:r>
      <w:r w:rsidRPr="000D0E98">
        <w:rPr>
          <w:rFonts w:ascii="Bookman Old Style" w:hAnsi="Bookman Old Style"/>
          <w:b/>
          <w:sz w:val="22"/>
          <w:szCs w:val="22"/>
        </w:rPr>
        <w:t xml:space="preserve">Horný koniec – na zákrute pri trafostanici na </w:t>
      </w:r>
      <w:proofErr w:type="spellStart"/>
      <w:r w:rsidR="00FD1709">
        <w:rPr>
          <w:rFonts w:ascii="Bookman Old Style" w:hAnsi="Bookman Old Style"/>
          <w:b/>
          <w:sz w:val="22"/>
          <w:szCs w:val="22"/>
        </w:rPr>
        <w:t>U</w:t>
      </w:r>
      <w:r w:rsidRPr="000D0E98">
        <w:rPr>
          <w:rFonts w:ascii="Bookman Old Style" w:hAnsi="Bookman Old Style"/>
          <w:b/>
          <w:sz w:val="22"/>
          <w:szCs w:val="22"/>
        </w:rPr>
        <w:t>l.Zamarovská</w:t>
      </w:r>
      <w:proofErr w:type="spellEnd"/>
      <w:r w:rsidRPr="000D0E98">
        <w:rPr>
          <w:rFonts w:ascii="Bookman Old Style" w:hAnsi="Bookman Old Style"/>
          <w:b/>
          <w:sz w:val="22"/>
          <w:szCs w:val="22"/>
        </w:rPr>
        <w:t xml:space="preserve"> </w:t>
      </w:r>
    </w:p>
    <w:p w:rsidR="001F0BAA" w:rsidRPr="000D0E98" w:rsidRDefault="001F0BAA" w:rsidP="001F0BAA">
      <w:pPr>
        <w:ind w:firstLine="240"/>
        <w:jc w:val="both"/>
        <w:rPr>
          <w:rFonts w:ascii="Bookman Old Style" w:hAnsi="Bookman Old Style"/>
          <w:b/>
          <w:sz w:val="22"/>
          <w:szCs w:val="22"/>
        </w:rPr>
      </w:pPr>
    </w:p>
    <w:p w:rsidR="001F0BAA" w:rsidRPr="00622CA4" w:rsidRDefault="001F0BAA" w:rsidP="001F0BAA">
      <w:pPr>
        <w:ind w:firstLine="240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622CA4">
        <w:rPr>
          <w:rFonts w:ascii="Bookman Old Style" w:hAnsi="Bookman Old Style"/>
          <w:sz w:val="22"/>
          <w:szCs w:val="22"/>
        </w:rPr>
        <w:t xml:space="preserve">       </w:t>
      </w:r>
      <w:r w:rsidRPr="00622CA4">
        <w:rPr>
          <w:rFonts w:ascii="Bookman Old Style" w:hAnsi="Bookman Old Style"/>
          <w:i/>
          <w:sz w:val="22"/>
          <w:szCs w:val="22"/>
          <w:u w:val="single"/>
        </w:rPr>
        <w:t xml:space="preserve">Do kontajnerov nepatrí </w:t>
      </w:r>
      <w:proofErr w:type="spellStart"/>
      <w:r w:rsidRPr="00622CA4">
        <w:rPr>
          <w:rFonts w:ascii="Bookman Old Style" w:hAnsi="Bookman Old Style"/>
          <w:i/>
          <w:sz w:val="22"/>
          <w:szCs w:val="22"/>
          <w:u w:val="single"/>
        </w:rPr>
        <w:t>elektroodpad</w:t>
      </w:r>
      <w:proofErr w:type="spellEnd"/>
      <w:r w:rsidRPr="00622CA4">
        <w:rPr>
          <w:rFonts w:ascii="Bookman Old Style" w:hAnsi="Bookman Old Style"/>
          <w:i/>
          <w:sz w:val="22"/>
          <w:szCs w:val="22"/>
          <w:u w:val="single"/>
        </w:rPr>
        <w:t xml:space="preserve">, vyradené batérie a akumulátory, </w:t>
      </w:r>
      <w:r w:rsidR="0056251B" w:rsidRPr="00622CA4">
        <w:rPr>
          <w:rFonts w:ascii="Bookman Old Style" w:hAnsi="Bookman Old Style"/>
          <w:i/>
          <w:sz w:val="22"/>
          <w:szCs w:val="22"/>
          <w:u w:val="single"/>
        </w:rPr>
        <w:t xml:space="preserve">žiarivky, </w:t>
      </w:r>
      <w:r w:rsidRPr="00622CA4">
        <w:rPr>
          <w:rFonts w:ascii="Bookman Old Style" w:hAnsi="Bookman Old Style"/>
          <w:i/>
          <w:sz w:val="22"/>
          <w:szCs w:val="22"/>
          <w:u w:val="single"/>
        </w:rPr>
        <w:t>železný šrot, drobný stavebný odpad, plasty, papier, sklo</w:t>
      </w:r>
      <w:r w:rsidR="0056251B" w:rsidRPr="00622CA4">
        <w:rPr>
          <w:rFonts w:ascii="Bookman Old Style" w:hAnsi="Bookman Old Style"/>
          <w:i/>
          <w:sz w:val="22"/>
          <w:szCs w:val="22"/>
          <w:u w:val="single"/>
        </w:rPr>
        <w:t xml:space="preserve">, </w:t>
      </w:r>
      <w:proofErr w:type="spellStart"/>
      <w:r w:rsidR="0056251B" w:rsidRPr="00622CA4">
        <w:rPr>
          <w:rFonts w:ascii="Bookman Old Style" w:hAnsi="Bookman Old Style"/>
          <w:i/>
          <w:sz w:val="22"/>
          <w:szCs w:val="22"/>
          <w:u w:val="single"/>
        </w:rPr>
        <w:t>tetrapaky</w:t>
      </w:r>
      <w:proofErr w:type="spellEnd"/>
      <w:r w:rsidR="0056251B" w:rsidRPr="00622CA4">
        <w:rPr>
          <w:rFonts w:ascii="Bookman Old Style" w:hAnsi="Bookman Old Style"/>
          <w:i/>
          <w:sz w:val="22"/>
          <w:szCs w:val="22"/>
          <w:u w:val="single"/>
        </w:rPr>
        <w:t xml:space="preserve">, </w:t>
      </w:r>
      <w:r w:rsidRPr="00622CA4">
        <w:rPr>
          <w:rFonts w:ascii="Bookman Old Style" w:hAnsi="Bookman Old Style"/>
          <w:i/>
          <w:sz w:val="22"/>
          <w:szCs w:val="22"/>
          <w:u w:val="single"/>
        </w:rPr>
        <w:t>biologický odpad (konáre, tráva, a pod.)</w:t>
      </w:r>
      <w:r w:rsidR="0056251B" w:rsidRPr="00622CA4">
        <w:rPr>
          <w:rFonts w:ascii="Bookman Old Style" w:hAnsi="Bookman Old Style"/>
          <w:i/>
          <w:sz w:val="22"/>
          <w:szCs w:val="22"/>
          <w:u w:val="single"/>
        </w:rPr>
        <w:t>, pneumatiky ani odpady s obsahom škodlivín.</w:t>
      </w:r>
      <w:r w:rsidR="00493EAD" w:rsidRPr="00622CA4">
        <w:rPr>
          <w:rFonts w:ascii="Bookman Old Style" w:hAnsi="Bookman Old Style"/>
          <w:i/>
          <w:sz w:val="22"/>
          <w:szCs w:val="22"/>
          <w:u w:val="single"/>
        </w:rPr>
        <w:t xml:space="preserve"> </w:t>
      </w:r>
    </w:p>
    <w:p w:rsidR="003343EE" w:rsidRDefault="00493EAD" w:rsidP="001F0BAA">
      <w:pPr>
        <w:ind w:firstLine="24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</w:p>
    <w:p w:rsidR="00493EAD" w:rsidRPr="0056251B" w:rsidRDefault="00493EAD" w:rsidP="001F0BAA">
      <w:pPr>
        <w:ind w:firstLine="240"/>
        <w:jc w:val="both"/>
        <w:rPr>
          <w:rFonts w:ascii="Bookman Old Style" w:hAnsi="Bookman Old Style"/>
          <w:b/>
          <w:i/>
          <w:color w:val="538135" w:themeColor="accent6" w:themeShade="BF"/>
          <w:sz w:val="22"/>
          <w:szCs w:val="22"/>
        </w:rPr>
      </w:pPr>
      <w:r w:rsidRPr="0056251B">
        <w:rPr>
          <w:rFonts w:ascii="Bookman Old Style" w:hAnsi="Bookman Old Style"/>
          <w:b/>
          <w:i/>
          <w:color w:val="538135" w:themeColor="accent6" w:themeShade="BF"/>
          <w:sz w:val="22"/>
          <w:szCs w:val="22"/>
        </w:rPr>
        <w:t xml:space="preserve">V prípade, že predmetné kontajnery </w:t>
      </w:r>
      <w:r w:rsidR="003B297D" w:rsidRPr="0056251B">
        <w:rPr>
          <w:rFonts w:ascii="Bookman Old Style" w:hAnsi="Bookman Old Style"/>
          <w:b/>
          <w:i/>
          <w:color w:val="538135" w:themeColor="accent6" w:themeShade="BF"/>
          <w:sz w:val="22"/>
          <w:szCs w:val="22"/>
        </w:rPr>
        <w:t xml:space="preserve">z kapacitných dôvodov </w:t>
      </w:r>
      <w:r w:rsidRPr="0056251B">
        <w:rPr>
          <w:rFonts w:ascii="Bookman Old Style" w:hAnsi="Bookman Old Style"/>
          <w:b/>
          <w:i/>
          <w:color w:val="538135" w:themeColor="accent6" w:themeShade="BF"/>
          <w:sz w:val="22"/>
          <w:szCs w:val="22"/>
        </w:rPr>
        <w:t>nebudú postačovať</w:t>
      </w:r>
      <w:r w:rsidR="003B297D" w:rsidRPr="0056251B">
        <w:rPr>
          <w:rFonts w:ascii="Bookman Old Style" w:hAnsi="Bookman Old Style"/>
          <w:b/>
          <w:i/>
          <w:color w:val="538135" w:themeColor="accent6" w:themeShade="BF"/>
          <w:sz w:val="22"/>
          <w:szCs w:val="22"/>
        </w:rPr>
        <w:t xml:space="preserve">, </w:t>
      </w:r>
      <w:r w:rsidRPr="0056251B">
        <w:rPr>
          <w:rFonts w:ascii="Bookman Old Style" w:hAnsi="Bookman Old Style"/>
          <w:b/>
          <w:i/>
          <w:color w:val="538135" w:themeColor="accent6" w:themeShade="BF"/>
          <w:sz w:val="22"/>
          <w:szCs w:val="22"/>
        </w:rPr>
        <w:t>obec zabezpečí ďalší vývoz veľkoobjemového odpadu</w:t>
      </w:r>
      <w:r w:rsidR="00194B8F" w:rsidRPr="0056251B">
        <w:rPr>
          <w:rFonts w:ascii="Bookman Old Style" w:hAnsi="Bookman Old Style"/>
          <w:b/>
          <w:i/>
          <w:color w:val="538135" w:themeColor="accent6" w:themeShade="BF"/>
          <w:sz w:val="22"/>
          <w:szCs w:val="22"/>
        </w:rPr>
        <w:t xml:space="preserve"> na nasledujúci týždeň</w:t>
      </w:r>
      <w:r w:rsidR="003B297D" w:rsidRPr="0056251B">
        <w:rPr>
          <w:rFonts w:ascii="Bookman Old Style" w:hAnsi="Bookman Old Style"/>
          <w:b/>
          <w:i/>
          <w:color w:val="538135" w:themeColor="accent6" w:themeShade="BF"/>
          <w:sz w:val="22"/>
          <w:szCs w:val="22"/>
        </w:rPr>
        <w:t>,</w:t>
      </w:r>
      <w:r w:rsidR="00194B8F" w:rsidRPr="0056251B">
        <w:rPr>
          <w:rFonts w:ascii="Bookman Old Style" w:hAnsi="Bookman Old Style"/>
          <w:b/>
          <w:i/>
          <w:color w:val="538135" w:themeColor="accent6" w:themeShade="BF"/>
          <w:sz w:val="22"/>
          <w:szCs w:val="22"/>
        </w:rPr>
        <w:t xml:space="preserve"> o čom budete včas informovaní.</w:t>
      </w:r>
    </w:p>
    <w:p w:rsidR="001F0BAA" w:rsidRDefault="001F0BAA" w:rsidP="001F0BAA">
      <w:pPr>
        <w:jc w:val="both"/>
        <w:rPr>
          <w:rFonts w:ascii="Bookman Old Style" w:hAnsi="Bookman Old Style"/>
          <w:sz w:val="22"/>
          <w:szCs w:val="22"/>
        </w:rPr>
      </w:pPr>
    </w:p>
    <w:p w:rsidR="00493EAD" w:rsidRDefault="001F0BAA" w:rsidP="001F0BA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</w:t>
      </w:r>
      <w:r w:rsidRPr="000D0E98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  </w:t>
      </w:r>
      <w:r w:rsidRPr="000D0E98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V</w:t>
      </w:r>
      <w:r w:rsidR="00FD1709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uveden</w:t>
      </w:r>
      <w:r w:rsidR="00FD1709">
        <w:rPr>
          <w:rFonts w:ascii="Bookman Old Style" w:hAnsi="Bookman Old Style"/>
          <w:sz w:val="22"/>
          <w:szCs w:val="22"/>
        </w:rPr>
        <w:t xml:space="preserve">ý deň, </w:t>
      </w:r>
      <w:proofErr w:type="spellStart"/>
      <w:r w:rsidR="00FD1709">
        <w:rPr>
          <w:rFonts w:ascii="Bookman Old Style" w:hAnsi="Bookman Old Style"/>
          <w:sz w:val="22"/>
          <w:szCs w:val="22"/>
        </w:rPr>
        <w:t>t.j</w:t>
      </w:r>
      <w:proofErr w:type="spellEnd"/>
      <w:r w:rsidR="00FD1709">
        <w:rPr>
          <w:rFonts w:ascii="Bookman Old Style" w:hAnsi="Bookman Old Style"/>
          <w:sz w:val="22"/>
          <w:szCs w:val="22"/>
        </w:rPr>
        <w:t xml:space="preserve">. </w:t>
      </w:r>
      <w:r w:rsidR="00493EAD">
        <w:rPr>
          <w:rFonts w:ascii="Bookman Old Style" w:hAnsi="Bookman Old Style"/>
          <w:b/>
          <w:sz w:val="22"/>
          <w:szCs w:val="22"/>
        </w:rPr>
        <w:t>02</w:t>
      </w:r>
      <w:r w:rsidRPr="00E905D4">
        <w:rPr>
          <w:rFonts w:ascii="Bookman Old Style" w:hAnsi="Bookman Old Style"/>
          <w:b/>
          <w:sz w:val="22"/>
          <w:szCs w:val="22"/>
        </w:rPr>
        <w:t>.</w:t>
      </w:r>
      <w:r w:rsidR="00493EAD">
        <w:rPr>
          <w:rFonts w:ascii="Bookman Old Style" w:hAnsi="Bookman Old Style"/>
          <w:b/>
          <w:sz w:val="22"/>
          <w:szCs w:val="22"/>
        </w:rPr>
        <w:t xml:space="preserve">05 2019 </w:t>
      </w:r>
      <w:r w:rsidRPr="00E905D4">
        <w:rPr>
          <w:rFonts w:ascii="Bookman Old Style" w:hAnsi="Bookman Old Style"/>
          <w:b/>
          <w:sz w:val="22"/>
          <w:szCs w:val="22"/>
        </w:rPr>
        <w:t>(štvrtok</w:t>
      </w:r>
      <w:r>
        <w:rPr>
          <w:rFonts w:ascii="Bookman Old Style" w:hAnsi="Bookman Old Style"/>
          <w:sz w:val="22"/>
          <w:szCs w:val="22"/>
        </w:rPr>
        <w:t>) sa uskutoční aj z</w:t>
      </w:r>
      <w:r w:rsidRPr="000D0E98">
        <w:rPr>
          <w:rFonts w:ascii="Bookman Old Style" w:hAnsi="Bookman Old Style"/>
          <w:sz w:val="22"/>
          <w:szCs w:val="22"/>
        </w:rPr>
        <w:t>ber</w:t>
      </w:r>
      <w:r w:rsidR="00493EAD">
        <w:rPr>
          <w:rFonts w:ascii="Bookman Old Style" w:hAnsi="Bookman Old Style"/>
          <w:sz w:val="22"/>
          <w:szCs w:val="22"/>
        </w:rPr>
        <w:t xml:space="preserve"> </w:t>
      </w:r>
      <w:r w:rsidRPr="000D0E98">
        <w:rPr>
          <w:rFonts w:ascii="Bookman Old Style" w:hAnsi="Bookman Old Style"/>
          <w:b/>
          <w:sz w:val="22"/>
          <w:szCs w:val="22"/>
        </w:rPr>
        <w:t>železného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0D0E98">
        <w:rPr>
          <w:rFonts w:ascii="Bookman Old Style" w:hAnsi="Bookman Old Style"/>
          <w:b/>
          <w:sz w:val="22"/>
          <w:szCs w:val="22"/>
        </w:rPr>
        <w:t>šrot</w:t>
      </w:r>
      <w:r w:rsidR="00493EAD">
        <w:rPr>
          <w:rFonts w:ascii="Bookman Old Style" w:hAnsi="Bookman Old Style"/>
          <w:b/>
          <w:sz w:val="22"/>
          <w:szCs w:val="22"/>
        </w:rPr>
        <w:t>u</w:t>
      </w:r>
      <w:r>
        <w:rPr>
          <w:rFonts w:ascii="Bookman Old Style" w:hAnsi="Bookman Old Style"/>
          <w:sz w:val="22"/>
          <w:szCs w:val="22"/>
        </w:rPr>
        <w:t>, ktorý je</w:t>
      </w:r>
      <w:r w:rsidRPr="000D0E98">
        <w:rPr>
          <w:rFonts w:ascii="Bookman Old Style" w:hAnsi="Bookman Old Style"/>
          <w:sz w:val="22"/>
          <w:szCs w:val="22"/>
        </w:rPr>
        <w:t xml:space="preserve"> možné</w:t>
      </w:r>
      <w:r w:rsidR="00493EAD">
        <w:rPr>
          <w:rFonts w:ascii="Bookman Old Style" w:hAnsi="Bookman Old Style"/>
          <w:sz w:val="22"/>
          <w:szCs w:val="22"/>
        </w:rPr>
        <w:t xml:space="preserve"> privie</w:t>
      </w:r>
      <w:r w:rsidR="00A01A92">
        <w:rPr>
          <w:rFonts w:ascii="Bookman Old Style" w:hAnsi="Bookman Old Style"/>
          <w:sz w:val="22"/>
          <w:szCs w:val="22"/>
        </w:rPr>
        <w:t>s</w:t>
      </w:r>
      <w:r w:rsidR="00493EAD">
        <w:rPr>
          <w:rFonts w:ascii="Bookman Old Style" w:hAnsi="Bookman Old Style"/>
          <w:sz w:val="22"/>
          <w:szCs w:val="22"/>
        </w:rPr>
        <w:t xml:space="preserve">ť na stanovisko pri trafostanici na Ul. </w:t>
      </w:r>
      <w:proofErr w:type="spellStart"/>
      <w:r w:rsidR="00493EAD">
        <w:rPr>
          <w:rFonts w:ascii="Bookman Old Style" w:hAnsi="Bookman Old Style"/>
          <w:sz w:val="22"/>
          <w:szCs w:val="22"/>
        </w:rPr>
        <w:t>Zamarovská</w:t>
      </w:r>
      <w:proofErr w:type="spellEnd"/>
      <w:r w:rsidR="00493EAD">
        <w:rPr>
          <w:rFonts w:ascii="Bookman Old Style" w:hAnsi="Bookman Old Style"/>
          <w:sz w:val="22"/>
          <w:szCs w:val="22"/>
        </w:rPr>
        <w:t xml:space="preserve"> a</w:t>
      </w:r>
      <w:r w:rsidRPr="000D0E98">
        <w:rPr>
          <w:rFonts w:ascii="Bookman Old Style" w:hAnsi="Bookman Old Style"/>
          <w:sz w:val="22"/>
          <w:szCs w:val="22"/>
        </w:rPr>
        <w:t xml:space="preserve"> vyložiť </w:t>
      </w:r>
      <w:r w:rsidR="00493EAD">
        <w:rPr>
          <w:rFonts w:ascii="Bookman Old Style" w:hAnsi="Bookman Old Style"/>
          <w:sz w:val="22"/>
          <w:szCs w:val="22"/>
        </w:rPr>
        <w:t>ho na pristavenú traktorovú vlečku.</w:t>
      </w:r>
    </w:p>
    <w:p w:rsidR="003B297D" w:rsidRDefault="003B297D" w:rsidP="001F0BAA">
      <w:pPr>
        <w:jc w:val="both"/>
        <w:rPr>
          <w:rFonts w:ascii="Bookman Old Style" w:hAnsi="Bookman Old Style"/>
          <w:sz w:val="22"/>
          <w:szCs w:val="22"/>
        </w:rPr>
      </w:pPr>
    </w:p>
    <w:p w:rsidR="003B297D" w:rsidRDefault="003B297D" w:rsidP="001F0BAA">
      <w:pPr>
        <w:jc w:val="both"/>
        <w:rPr>
          <w:rFonts w:ascii="Bookman Old Style" w:hAnsi="Bookman Old Style"/>
          <w:b/>
          <w:szCs w:val="24"/>
        </w:rPr>
      </w:pPr>
    </w:p>
    <w:p w:rsidR="00D21EAD" w:rsidRDefault="003B297D" w:rsidP="001F0BAA">
      <w:pPr>
        <w:jc w:val="both"/>
        <w:rPr>
          <w:rFonts w:ascii="Bookman Old Style" w:hAnsi="Bookman Old Style"/>
          <w:b/>
          <w:szCs w:val="24"/>
        </w:rPr>
      </w:pPr>
      <w:r w:rsidRPr="00493EAD">
        <w:rPr>
          <w:rFonts w:ascii="Bookman Old Style" w:hAnsi="Bookman Old Style"/>
          <w:b/>
          <w:szCs w:val="24"/>
        </w:rPr>
        <w:t xml:space="preserve">„ </w:t>
      </w:r>
      <w:r w:rsidR="00D21EAD">
        <w:rPr>
          <w:rFonts w:ascii="Bookman Old Style" w:hAnsi="Bookman Old Style"/>
          <w:b/>
          <w:szCs w:val="24"/>
        </w:rPr>
        <w:t>BIO ODPAD“</w:t>
      </w:r>
    </w:p>
    <w:p w:rsidR="00622CA4" w:rsidRDefault="00622CA4" w:rsidP="001F0BAA">
      <w:pPr>
        <w:jc w:val="both"/>
        <w:rPr>
          <w:rFonts w:ascii="Bookman Old Style" w:hAnsi="Bookman Old Style"/>
          <w:color w:val="FF0000"/>
          <w:szCs w:val="24"/>
        </w:rPr>
      </w:pPr>
    </w:p>
    <w:p w:rsidR="00D01777" w:rsidRPr="00A953B6" w:rsidRDefault="00622CA4" w:rsidP="001F0BAA">
      <w:pPr>
        <w:jc w:val="both"/>
        <w:rPr>
          <w:rFonts w:ascii="Bookman Old Style" w:hAnsi="Bookman Old Style"/>
          <w:szCs w:val="24"/>
        </w:rPr>
      </w:pPr>
      <w:r w:rsidRPr="00A953B6">
        <w:rPr>
          <w:rFonts w:ascii="Bookman Old Style" w:hAnsi="Bookman Old Style"/>
          <w:sz w:val="22"/>
          <w:szCs w:val="22"/>
        </w:rPr>
        <w:t xml:space="preserve">V zmysle zákona č.79/2015 </w:t>
      </w:r>
      <w:proofErr w:type="spellStart"/>
      <w:r w:rsidRPr="00A953B6">
        <w:rPr>
          <w:rFonts w:ascii="Bookman Old Style" w:hAnsi="Bookman Old Style"/>
          <w:sz w:val="22"/>
          <w:szCs w:val="22"/>
        </w:rPr>
        <w:t>Z.z</w:t>
      </w:r>
      <w:proofErr w:type="spellEnd"/>
      <w:r w:rsidRPr="00A953B6">
        <w:rPr>
          <w:rFonts w:ascii="Bookman Old Style" w:hAnsi="Bookman Old Style"/>
          <w:sz w:val="22"/>
          <w:szCs w:val="22"/>
        </w:rPr>
        <w:t xml:space="preserve">. o odpadoch a o zmene a doplnení niektorých zákonov je od 01.01.2016 povinnosť mať v každom rodinnom dome </w:t>
      </w:r>
      <w:proofErr w:type="spellStart"/>
      <w:r w:rsidRPr="00A953B6">
        <w:rPr>
          <w:rFonts w:ascii="Bookman Old Style" w:hAnsi="Bookman Old Style"/>
          <w:sz w:val="22"/>
          <w:szCs w:val="22"/>
        </w:rPr>
        <w:t>kompostovací</w:t>
      </w:r>
      <w:proofErr w:type="spellEnd"/>
      <w:r w:rsidRPr="00A953B6">
        <w:rPr>
          <w:rFonts w:ascii="Bookman Old Style" w:hAnsi="Bookman Old Style"/>
          <w:sz w:val="22"/>
          <w:szCs w:val="22"/>
        </w:rPr>
        <w:t xml:space="preserve"> zásobník. </w:t>
      </w:r>
      <w:r w:rsidR="00A953B6" w:rsidRPr="00A953B6">
        <w:rPr>
          <w:rFonts w:ascii="Bookman Old Style" w:hAnsi="Bookman Old Style"/>
          <w:sz w:val="22"/>
          <w:szCs w:val="22"/>
        </w:rPr>
        <w:t>Vzhľadom k tomu, že nie všetci obyvatelia obce Zamarovce chcú kompostovať biologicky rozložiteľný odpad v </w:t>
      </w:r>
      <w:proofErr w:type="spellStart"/>
      <w:r w:rsidR="00A953B6" w:rsidRPr="00A953B6">
        <w:rPr>
          <w:rFonts w:ascii="Bookman Old Style" w:hAnsi="Bookman Old Style"/>
          <w:sz w:val="22"/>
          <w:szCs w:val="22"/>
        </w:rPr>
        <w:t>kompostovacích</w:t>
      </w:r>
      <w:proofErr w:type="spellEnd"/>
      <w:r w:rsidR="00A953B6" w:rsidRPr="00A953B6">
        <w:rPr>
          <w:rFonts w:ascii="Bookman Old Style" w:hAnsi="Bookman Old Style"/>
          <w:sz w:val="22"/>
          <w:szCs w:val="22"/>
        </w:rPr>
        <w:t xml:space="preserve"> zásobníkoch,</w:t>
      </w:r>
      <w:r w:rsidR="00A953B6" w:rsidRPr="00A953B6">
        <w:rPr>
          <w:rFonts w:ascii="Bookman Old Style" w:hAnsi="Bookman Old Style"/>
          <w:szCs w:val="24"/>
        </w:rPr>
        <w:t xml:space="preserve"> </w:t>
      </w:r>
      <w:r w:rsidR="00D21EAD" w:rsidRPr="00A953B6">
        <w:rPr>
          <w:rFonts w:ascii="Bookman Old Style" w:hAnsi="Bookman Old Style"/>
          <w:sz w:val="22"/>
          <w:szCs w:val="22"/>
        </w:rPr>
        <w:t xml:space="preserve">Obecný úrad Zamarovce v spolupráci so spoločnosťou </w:t>
      </w:r>
      <w:proofErr w:type="spellStart"/>
      <w:r w:rsidR="00D21EAD" w:rsidRPr="00A953B6">
        <w:rPr>
          <w:rFonts w:ascii="Bookman Old Style" w:hAnsi="Bookman Old Style"/>
          <w:sz w:val="22"/>
          <w:szCs w:val="22"/>
        </w:rPr>
        <w:t>Marius</w:t>
      </w:r>
      <w:proofErr w:type="spellEnd"/>
      <w:r w:rsidR="00D21EAD" w:rsidRPr="00A953B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21EAD" w:rsidRPr="00A953B6">
        <w:rPr>
          <w:rFonts w:ascii="Bookman Old Style" w:hAnsi="Bookman Old Style"/>
          <w:sz w:val="22"/>
          <w:szCs w:val="22"/>
        </w:rPr>
        <w:t>Pedersen</w:t>
      </w:r>
      <w:proofErr w:type="spellEnd"/>
      <w:r w:rsidR="00D21EAD" w:rsidRPr="00A953B6">
        <w:rPr>
          <w:rFonts w:ascii="Bookman Old Style" w:hAnsi="Bookman Old Style"/>
          <w:sz w:val="22"/>
          <w:szCs w:val="22"/>
        </w:rPr>
        <w:t xml:space="preserve"> ponúkajú pre </w:t>
      </w:r>
      <w:r w:rsidR="00A953B6" w:rsidRPr="00A953B6">
        <w:rPr>
          <w:rFonts w:ascii="Bookman Old Style" w:hAnsi="Bookman Old Style"/>
          <w:sz w:val="22"/>
          <w:szCs w:val="22"/>
        </w:rPr>
        <w:t>občanov,</w:t>
      </w:r>
      <w:r w:rsidR="00D21EAD" w:rsidRPr="00A953B6">
        <w:rPr>
          <w:rFonts w:ascii="Bookman Old Style" w:hAnsi="Bookman Old Style"/>
          <w:sz w:val="22"/>
          <w:szCs w:val="22"/>
        </w:rPr>
        <w:t xml:space="preserve"> možnosť objednať si vývoz</w:t>
      </w:r>
      <w:r w:rsidR="00947812" w:rsidRPr="00A953B6">
        <w:rPr>
          <w:rFonts w:ascii="Bookman Old Style" w:hAnsi="Bookman Old Style"/>
          <w:sz w:val="22"/>
          <w:szCs w:val="22"/>
        </w:rPr>
        <w:t xml:space="preserve"> bioodpadu, tzv. zeleného (zo záhrad)</w:t>
      </w:r>
      <w:r w:rsidR="00D21EAD" w:rsidRPr="00A953B6">
        <w:rPr>
          <w:rFonts w:ascii="Bookman Old Style" w:hAnsi="Bookman Old Style"/>
          <w:sz w:val="22"/>
          <w:szCs w:val="22"/>
        </w:rPr>
        <w:t xml:space="preserve"> </w:t>
      </w:r>
      <w:r w:rsidR="003343EE" w:rsidRPr="00A953B6">
        <w:rPr>
          <w:rFonts w:ascii="Bookman Old Style" w:hAnsi="Bookman Old Style"/>
          <w:sz w:val="22"/>
          <w:szCs w:val="22"/>
        </w:rPr>
        <w:t xml:space="preserve">formou </w:t>
      </w:r>
      <w:r w:rsidR="00D21EAD" w:rsidRPr="00A953B6">
        <w:rPr>
          <w:rFonts w:ascii="Bookman Old Style" w:hAnsi="Bookman Old Style"/>
          <w:sz w:val="22"/>
          <w:szCs w:val="22"/>
        </w:rPr>
        <w:t>tzv. „hnedých</w:t>
      </w:r>
      <w:r w:rsidR="003343EE" w:rsidRPr="00A953B6">
        <w:rPr>
          <w:rFonts w:ascii="Bookman Old Style" w:hAnsi="Bookman Old Style"/>
          <w:sz w:val="22"/>
          <w:szCs w:val="22"/>
        </w:rPr>
        <w:t xml:space="preserve"> 120 l</w:t>
      </w:r>
      <w:r w:rsidR="00D21EAD" w:rsidRPr="00A953B6">
        <w:rPr>
          <w:rFonts w:ascii="Bookman Old Style" w:hAnsi="Bookman Old Style"/>
          <w:sz w:val="22"/>
          <w:szCs w:val="22"/>
        </w:rPr>
        <w:t xml:space="preserve"> bio nádob“</w:t>
      </w:r>
      <w:r w:rsidR="003343EE" w:rsidRPr="00A953B6">
        <w:rPr>
          <w:rFonts w:ascii="Bookman Old Style" w:hAnsi="Bookman Old Style"/>
          <w:sz w:val="22"/>
          <w:szCs w:val="22"/>
        </w:rPr>
        <w:t xml:space="preserve">. </w:t>
      </w:r>
      <w:r w:rsidR="006B7C6C" w:rsidRPr="00A953B6">
        <w:rPr>
          <w:rFonts w:ascii="Bookman Old Style" w:hAnsi="Bookman Old Style"/>
          <w:sz w:val="22"/>
          <w:szCs w:val="22"/>
        </w:rPr>
        <w:t xml:space="preserve">Cena za vývoz jednej </w:t>
      </w:r>
      <w:r w:rsidR="00947812" w:rsidRPr="00A953B6">
        <w:rPr>
          <w:rFonts w:ascii="Bookman Old Style" w:hAnsi="Bookman Old Style"/>
          <w:sz w:val="22"/>
          <w:szCs w:val="22"/>
        </w:rPr>
        <w:t xml:space="preserve">120 l </w:t>
      </w:r>
      <w:r w:rsidR="006B7C6C" w:rsidRPr="00A953B6">
        <w:rPr>
          <w:rFonts w:ascii="Bookman Old Style" w:hAnsi="Bookman Old Style"/>
          <w:sz w:val="22"/>
          <w:szCs w:val="22"/>
        </w:rPr>
        <w:t xml:space="preserve">nádoby </w:t>
      </w:r>
      <w:r w:rsidR="00947812" w:rsidRPr="00A953B6">
        <w:rPr>
          <w:rFonts w:ascii="Bookman Old Style" w:hAnsi="Bookman Old Style"/>
          <w:sz w:val="22"/>
          <w:szCs w:val="22"/>
        </w:rPr>
        <w:t xml:space="preserve">s pravidelným vývozom 1 x za 14 dní </w:t>
      </w:r>
      <w:r w:rsidR="006B7C6C" w:rsidRPr="00A953B6">
        <w:rPr>
          <w:rFonts w:ascii="Bookman Old Style" w:hAnsi="Bookman Old Style"/>
          <w:sz w:val="22"/>
          <w:szCs w:val="22"/>
        </w:rPr>
        <w:t xml:space="preserve">za obdobie od 01.03. do 30.11. </w:t>
      </w:r>
      <w:r w:rsidR="00D01777" w:rsidRPr="00A953B6">
        <w:rPr>
          <w:rFonts w:ascii="Bookman Old Style" w:hAnsi="Bookman Old Style"/>
          <w:sz w:val="22"/>
          <w:szCs w:val="22"/>
        </w:rPr>
        <w:t xml:space="preserve">kalendárneho roka </w:t>
      </w:r>
      <w:r w:rsidR="006B7C6C" w:rsidRPr="00A953B6">
        <w:rPr>
          <w:rFonts w:ascii="Bookman Old Style" w:hAnsi="Bookman Old Style"/>
          <w:sz w:val="22"/>
          <w:szCs w:val="22"/>
        </w:rPr>
        <w:t xml:space="preserve">(18 vývozov) </w:t>
      </w:r>
      <w:r w:rsidR="006B7C6C" w:rsidRPr="00A953B6">
        <w:rPr>
          <w:rFonts w:ascii="Bookman Old Style" w:hAnsi="Bookman Old Style"/>
          <w:b/>
          <w:sz w:val="22"/>
          <w:szCs w:val="22"/>
        </w:rPr>
        <w:t>je 45,-€</w:t>
      </w:r>
      <w:r w:rsidR="00947812" w:rsidRPr="00A953B6">
        <w:rPr>
          <w:rFonts w:ascii="Bookman Old Style" w:hAnsi="Bookman Old Style"/>
          <w:b/>
          <w:sz w:val="22"/>
          <w:szCs w:val="22"/>
        </w:rPr>
        <w:t xml:space="preserve"> (v cene je zahrnuté dodanie nádoby</w:t>
      </w:r>
      <w:r w:rsidR="000D6CFA" w:rsidRPr="00A953B6">
        <w:rPr>
          <w:rFonts w:ascii="Bookman Old Style" w:hAnsi="Bookman Old Style"/>
          <w:b/>
          <w:sz w:val="22"/>
          <w:szCs w:val="22"/>
        </w:rPr>
        <w:t>, 18</w:t>
      </w:r>
      <w:r w:rsidR="00947812" w:rsidRPr="00A953B6">
        <w:rPr>
          <w:rFonts w:ascii="Bookman Old Style" w:hAnsi="Bookman Old Style"/>
          <w:b/>
          <w:sz w:val="22"/>
          <w:szCs w:val="22"/>
        </w:rPr>
        <w:t xml:space="preserve"> vývoz</w:t>
      </w:r>
      <w:r w:rsidR="000D6CFA" w:rsidRPr="00A953B6">
        <w:rPr>
          <w:rFonts w:ascii="Bookman Old Style" w:hAnsi="Bookman Old Style"/>
          <w:b/>
          <w:sz w:val="22"/>
          <w:szCs w:val="22"/>
        </w:rPr>
        <w:t xml:space="preserve">ov a likvidácia bioodpadu na </w:t>
      </w:r>
      <w:proofErr w:type="spellStart"/>
      <w:r w:rsidR="000D6CFA" w:rsidRPr="00A953B6">
        <w:rPr>
          <w:rFonts w:ascii="Bookman Old Style" w:hAnsi="Bookman Old Style"/>
          <w:b/>
          <w:sz w:val="22"/>
          <w:szCs w:val="22"/>
        </w:rPr>
        <w:t>kompostárni</w:t>
      </w:r>
      <w:proofErr w:type="spellEnd"/>
      <w:r w:rsidR="000D6CFA" w:rsidRPr="00A953B6">
        <w:rPr>
          <w:rFonts w:ascii="Bookman Old Style" w:hAnsi="Bookman Old Style"/>
          <w:b/>
          <w:sz w:val="22"/>
          <w:szCs w:val="22"/>
        </w:rPr>
        <w:t>)</w:t>
      </w:r>
      <w:r w:rsidR="006B7C6C" w:rsidRPr="00A953B6">
        <w:rPr>
          <w:rFonts w:ascii="Bookman Old Style" w:hAnsi="Bookman Old Style"/>
          <w:b/>
          <w:sz w:val="22"/>
          <w:szCs w:val="22"/>
        </w:rPr>
        <w:t>.</w:t>
      </w:r>
      <w:r w:rsidR="008C4FB7" w:rsidRPr="00A953B6">
        <w:rPr>
          <w:rFonts w:ascii="Bookman Old Style" w:hAnsi="Bookman Old Style"/>
          <w:sz w:val="22"/>
          <w:szCs w:val="22"/>
        </w:rPr>
        <w:t xml:space="preserve"> Pre tento rok by bola cena prepočítaná k počtu vychádzajúcich vývozov.</w:t>
      </w:r>
      <w:r w:rsidR="006B7C6C" w:rsidRPr="00A953B6">
        <w:rPr>
          <w:rFonts w:ascii="Bookman Old Style" w:hAnsi="Bookman Old Style"/>
          <w:sz w:val="22"/>
          <w:szCs w:val="22"/>
        </w:rPr>
        <w:t xml:space="preserve"> </w:t>
      </w:r>
      <w:r w:rsidR="00D01777" w:rsidRPr="00A953B6">
        <w:rPr>
          <w:rFonts w:ascii="Bookman Old Style" w:hAnsi="Bookman Old Style"/>
          <w:sz w:val="22"/>
          <w:szCs w:val="22"/>
        </w:rPr>
        <w:t xml:space="preserve">V prípade záujmu o túto službu je potrebné </w:t>
      </w:r>
      <w:r w:rsidR="00D01777" w:rsidRPr="00A953B6">
        <w:rPr>
          <w:rFonts w:ascii="Bookman Old Style" w:hAnsi="Bookman Old Style"/>
          <w:b/>
          <w:sz w:val="22"/>
          <w:szCs w:val="22"/>
        </w:rPr>
        <w:t>do 05.05.2019</w:t>
      </w:r>
      <w:r w:rsidR="00D01777" w:rsidRPr="00A953B6">
        <w:rPr>
          <w:rFonts w:ascii="Bookman Old Style" w:hAnsi="Bookman Old Style"/>
          <w:sz w:val="22"/>
          <w:szCs w:val="22"/>
        </w:rPr>
        <w:t xml:space="preserve"> zaslať záväzn</w:t>
      </w:r>
      <w:r w:rsidR="00A953B6">
        <w:rPr>
          <w:rFonts w:ascii="Bookman Old Style" w:hAnsi="Bookman Old Style"/>
          <w:sz w:val="22"/>
          <w:szCs w:val="22"/>
        </w:rPr>
        <w:t>ú</w:t>
      </w:r>
      <w:r w:rsidR="00D01777" w:rsidRPr="00A953B6">
        <w:rPr>
          <w:rFonts w:ascii="Bookman Old Style" w:hAnsi="Bookman Old Style"/>
          <w:sz w:val="22"/>
          <w:szCs w:val="22"/>
        </w:rPr>
        <w:t xml:space="preserve"> objednávku na email: </w:t>
      </w:r>
      <w:r w:rsidR="00D24A61" w:rsidRPr="00A953B6">
        <w:rPr>
          <w:rFonts w:ascii="Bookman Old Style" w:hAnsi="Bookman Old Style"/>
          <w:b/>
          <w:sz w:val="22"/>
          <w:szCs w:val="22"/>
        </w:rPr>
        <w:t>peter.minarik@zamarovce.dcom.sk</w:t>
      </w:r>
      <w:r w:rsidR="00D01777" w:rsidRPr="00A953B6">
        <w:rPr>
          <w:rFonts w:ascii="Bookman Old Style" w:hAnsi="Bookman Old Style"/>
          <w:sz w:val="22"/>
          <w:szCs w:val="22"/>
        </w:rPr>
        <w:t>. V opačnom prípade (ak kompostujete)</w:t>
      </w:r>
      <w:r w:rsidR="00B4440B" w:rsidRPr="00A953B6">
        <w:rPr>
          <w:rFonts w:ascii="Bookman Old Style" w:hAnsi="Bookman Old Style"/>
          <w:sz w:val="22"/>
          <w:szCs w:val="22"/>
        </w:rPr>
        <w:t>,</w:t>
      </w:r>
      <w:r w:rsidR="00D01777" w:rsidRPr="00A953B6">
        <w:rPr>
          <w:rFonts w:ascii="Bookman Old Style" w:hAnsi="Bookman Old Style"/>
          <w:sz w:val="22"/>
          <w:szCs w:val="22"/>
        </w:rPr>
        <w:t xml:space="preserve"> je potrebné </w:t>
      </w:r>
      <w:r w:rsidR="00D01777" w:rsidRPr="00A953B6">
        <w:rPr>
          <w:rFonts w:ascii="Bookman Old Style" w:hAnsi="Bookman Old Style"/>
          <w:b/>
          <w:sz w:val="22"/>
          <w:szCs w:val="22"/>
        </w:rPr>
        <w:t>vyplniť čestné prehlásenie</w:t>
      </w:r>
      <w:r w:rsidR="00D01777" w:rsidRPr="00A953B6">
        <w:rPr>
          <w:rFonts w:ascii="Bookman Old Style" w:hAnsi="Bookman Old Style"/>
          <w:sz w:val="22"/>
          <w:szCs w:val="22"/>
        </w:rPr>
        <w:t>, ktoré tvorí prílohu tohto letáku</w:t>
      </w:r>
      <w:r w:rsidR="00B4440B" w:rsidRPr="00A953B6">
        <w:rPr>
          <w:rFonts w:ascii="Bookman Old Style" w:hAnsi="Bookman Old Style"/>
          <w:sz w:val="22"/>
          <w:szCs w:val="22"/>
        </w:rPr>
        <w:t xml:space="preserve"> a doručiť ho na </w:t>
      </w:r>
      <w:proofErr w:type="spellStart"/>
      <w:r w:rsidR="00B4440B" w:rsidRPr="00A953B6">
        <w:rPr>
          <w:rFonts w:ascii="Bookman Old Style" w:hAnsi="Bookman Old Style"/>
          <w:sz w:val="22"/>
          <w:szCs w:val="22"/>
        </w:rPr>
        <w:t>OcÚ</w:t>
      </w:r>
      <w:proofErr w:type="spellEnd"/>
      <w:r w:rsidR="00B4440B" w:rsidRPr="00A953B6">
        <w:rPr>
          <w:rFonts w:ascii="Bookman Old Style" w:hAnsi="Bookman Old Style"/>
          <w:sz w:val="22"/>
          <w:szCs w:val="22"/>
        </w:rPr>
        <w:t xml:space="preserve"> Zamarovce, resp. </w:t>
      </w:r>
      <w:r w:rsidR="007D1B35" w:rsidRPr="00A953B6">
        <w:rPr>
          <w:rFonts w:ascii="Bookman Old Style" w:hAnsi="Bookman Old Style"/>
          <w:sz w:val="22"/>
          <w:szCs w:val="22"/>
        </w:rPr>
        <w:t xml:space="preserve">po vyplnení a podpísaní </w:t>
      </w:r>
      <w:r w:rsidR="00B4440B" w:rsidRPr="00A953B6">
        <w:rPr>
          <w:rFonts w:ascii="Bookman Old Style" w:hAnsi="Bookman Old Style"/>
          <w:sz w:val="22"/>
          <w:szCs w:val="22"/>
        </w:rPr>
        <w:t xml:space="preserve">vhodiť čestné prehlásenie do schránky </w:t>
      </w:r>
      <w:proofErr w:type="spellStart"/>
      <w:r w:rsidR="00B4440B" w:rsidRPr="00A953B6">
        <w:rPr>
          <w:rFonts w:ascii="Bookman Old Style" w:hAnsi="Bookman Old Style"/>
          <w:sz w:val="22"/>
          <w:szCs w:val="22"/>
        </w:rPr>
        <w:t>OcÚ</w:t>
      </w:r>
      <w:proofErr w:type="spellEnd"/>
      <w:r w:rsidR="00B4440B" w:rsidRPr="00A953B6">
        <w:rPr>
          <w:rFonts w:ascii="Bookman Old Style" w:hAnsi="Bookman Old Style"/>
          <w:sz w:val="22"/>
          <w:szCs w:val="22"/>
        </w:rPr>
        <w:t xml:space="preserve"> Zamarovce (vedľa vstupných dverí)</w:t>
      </w:r>
      <w:r w:rsidRPr="00A953B6">
        <w:rPr>
          <w:rFonts w:ascii="Bookman Old Style" w:hAnsi="Bookman Old Style"/>
          <w:sz w:val="22"/>
          <w:szCs w:val="22"/>
        </w:rPr>
        <w:t xml:space="preserve">, najneskôr do </w:t>
      </w:r>
      <w:r w:rsidRPr="00A953B6">
        <w:rPr>
          <w:rFonts w:ascii="Bookman Old Style" w:hAnsi="Bookman Old Style"/>
          <w:b/>
          <w:sz w:val="22"/>
          <w:szCs w:val="22"/>
        </w:rPr>
        <w:t>05.05.2019.</w:t>
      </w:r>
    </w:p>
    <w:p w:rsidR="00E56EDD" w:rsidRDefault="00E56EDD" w:rsidP="001F0BA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E56EDD" w:rsidRDefault="00E56EDD" w:rsidP="001F0BA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E56EDD" w:rsidRDefault="00E56EDD" w:rsidP="001F0BA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E56EDD" w:rsidRDefault="00E56EDD" w:rsidP="001F0BA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E56EDD" w:rsidRPr="00E56EDD" w:rsidRDefault="00E56EDD" w:rsidP="00E56EDD">
      <w:pPr>
        <w:jc w:val="center"/>
        <w:rPr>
          <w:b/>
          <w:color w:val="FF0000"/>
          <w:sz w:val="32"/>
          <w:szCs w:val="32"/>
        </w:rPr>
      </w:pPr>
      <w:r w:rsidRPr="00E56EDD">
        <w:rPr>
          <w:b/>
          <w:color w:val="FF0000"/>
          <w:sz w:val="32"/>
          <w:szCs w:val="32"/>
        </w:rPr>
        <w:lastRenderedPageBreak/>
        <w:t xml:space="preserve">Prečo musíme v obci začať triediť </w:t>
      </w:r>
      <w:r w:rsidR="005B7C0E">
        <w:rPr>
          <w:b/>
          <w:color w:val="FF0000"/>
          <w:sz w:val="32"/>
          <w:szCs w:val="32"/>
        </w:rPr>
        <w:t xml:space="preserve">odpad </w:t>
      </w:r>
      <w:r w:rsidRPr="00E56EDD">
        <w:rPr>
          <w:b/>
          <w:color w:val="FF0000"/>
          <w:sz w:val="32"/>
          <w:szCs w:val="32"/>
        </w:rPr>
        <w:t>lepšie a viac!</w:t>
      </w:r>
    </w:p>
    <w:p w:rsidR="00E56EDD" w:rsidRDefault="00E56EDD" w:rsidP="00E56EDD">
      <w:pPr>
        <w:jc w:val="both"/>
        <w:rPr>
          <w:color w:val="00B050"/>
          <w:sz w:val="32"/>
          <w:szCs w:val="32"/>
        </w:rPr>
      </w:pPr>
    </w:p>
    <w:p w:rsidR="00E56EDD" w:rsidRDefault="00E56EDD" w:rsidP="00E56E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Milí občania,</w:t>
      </w:r>
    </w:p>
    <w:p w:rsidR="00E56EDD" w:rsidRPr="00DC41A5" w:rsidRDefault="00E56EDD" w:rsidP="00E56E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prečo musíme v obci začať triediť viac? </w:t>
      </w:r>
      <w:r w:rsidRPr="00057FBF">
        <w:rPr>
          <w:b/>
          <w:color w:val="000000" w:themeColor="text1"/>
          <w:sz w:val="28"/>
          <w:szCs w:val="28"/>
        </w:rPr>
        <w:t xml:space="preserve">Pretože ak nebudeme, bude nás to stáť veľa peňazí. </w:t>
      </w:r>
      <w:r>
        <w:rPr>
          <w:color w:val="000000" w:themeColor="text1"/>
          <w:sz w:val="28"/>
          <w:szCs w:val="28"/>
        </w:rPr>
        <w:t>Triediť odpad je povinnosť zo zákona. Triedenie odpadu predstavuje ochranu nášho životného prostredia, ale v neposlednom rade naša zodpovednosť k  triedeniu odpadu už ovplyvňuje  aj to</w:t>
      </w:r>
      <w:r w:rsidR="00A953B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koľko nás budú stať odpady ukladané na skládku. </w:t>
      </w:r>
    </w:p>
    <w:p w:rsidR="00E56EDD" w:rsidRPr="00671E41" w:rsidRDefault="00E56EDD" w:rsidP="00E56E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Čo sa zmenilo? Zmenil sa zákon o poplatkoch za uloženie odpadov na skládku. Všetky odpady, ktoré nedokážeme vytriediť idú na skládku, kde platíme za každú tonu poplatok. Platíme poplatok prevádzkový, prevádzkovateľovi skládky, čo je v zmysle zmluvy 42,77 €/tonu + poplatok zákonný, ktorý bol do 28.2.2019 vo výške 5,17 €/tonu. Od 1.3.2019 sa tento poplatok zmenil a to v závislosti od toho, ako poctivo sme triedili. Za rok 2018 sme dosiahli </w:t>
      </w:r>
      <w:proofErr w:type="spellStart"/>
      <w:r>
        <w:rPr>
          <w:color w:val="000000" w:themeColor="text1"/>
          <w:sz w:val="28"/>
          <w:szCs w:val="28"/>
        </w:rPr>
        <w:t>vytriedenosť</w:t>
      </w:r>
      <w:proofErr w:type="spellEnd"/>
      <w:r>
        <w:rPr>
          <w:color w:val="000000" w:themeColor="text1"/>
          <w:sz w:val="28"/>
          <w:szCs w:val="28"/>
        </w:rPr>
        <w:t xml:space="preserve"> vo výške </w:t>
      </w:r>
      <w:r w:rsidRPr="00671E41">
        <w:rPr>
          <w:b/>
          <w:color w:val="000000" w:themeColor="text1"/>
          <w:sz w:val="28"/>
          <w:szCs w:val="28"/>
        </w:rPr>
        <w:t>23,9%</w:t>
      </w:r>
      <w:r>
        <w:rPr>
          <w:color w:val="000000" w:themeColor="text1"/>
          <w:sz w:val="28"/>
          <w:szCs w:val="28"/>
        </w:rPr>
        <w:t xml:space="preserve">, je to dosť málo a to znamená, že zákonný poplatok sa nám zvýši z 5,17 € na 10 € za tonu, ak nezlepšíme </w:t>
      </w:r>
      <w:proofErr w:type="spellStart"/>
      <w:r>
        <w:rPr>
          <w:color w:val="000000" w:themeColor="text1"/>
          <w:sz w:val="28"/>
          <w:szCs w:val="28"/>
        </w:rPr>
        <w:t>vytriedenosť</w:t>
      </w:r>
      <w:proofErr w:type="spellEnd"/>
      <w:r>
        <w:rPr>
          <w:color w:val="000000" w:themeColor="text1"/>
          <w:sz w:val="28"/>
          <w:szCs w:val="28"/>
        </w:rPr>
        <w:t xml:space="preserve"> tak v r. 2020 až na </w:t>
      </w:r>
      <w:r w:rsidRPr="00671E41">
        <w:rPr>
          <w:b/>
          <w:color w:val="000000" w:themeColor="text1"/>
          <w:sz w:val="28"/>
          <w:szCs w:val="28"/>
        </w:rPr>
        <w:t>22 eur</w:t>
      </w:r>
      <w:r w:rsidR="00671E41" w:rsidRPr="00671E41">
        <w:rPr>
          <w:b/>
          <w:color w:val="000000" w:themeColor="text1"/>
          <w:sz w:val="28"/>
          <w:szCs w:val="28"/>
        </w:rPr>
        <w:t>!!!</w:t>
      </w:r>
      <w:r w:rsidR="00671E41">
        <w:rPr>
          <w:b/>
          <w:color w:val="000000" w:themeColor="text1"/>
          <w:sz w:val="28"/>
          <w:szCs w:val="28"/>
        </w:rPr>
        <w:t xml:space="preserve"> </w:t>
      </w:r>
      <w:r w:rsidR="00671E41" w:rsidRPr="00671E41">
        <w:rPr>
          <w:color w:val="000000" w:themeColor="text1"/>
          <w:sz w:val="28"/>
          <w:szCs w:val="28"/>
        </w:rPr>
        <w:t>(viď tabuľka)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56EDD" w:rsidTr="00EB5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DD" w:rsidRDefault="00E56EDD" w:rsidP="00EB551B"/>
          <w:tbl>
            <w:tblPr>
              <w:tblW w:w="498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36"/>
              <w:gridCol w:w="4435"/>
              <w:gridCol w:w="558"/>
              <w:gridCol w:w="558"/>
              <w:gridCol w:w="2463"/>
            </w:tblGrid>
            <w:tr w:rsidR="00E56EDD" w:rsidTr="00EB551B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Položka</w:t>
                  </w:r>
                </w:p>
              </w:tc>
              <w:tc>
                <w:tcPr>
                  <w:tcW w:w="0" w:type="auto"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Úroveň vytriedenia komunálneho odpadu  [%]</w:t>
                  </w: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Sadzba za príslušný rok v eurách . t</w:t>
                  </w:r>
                  <w:r>
                    <w:rPr>
                      <w:vertAlign w:val="superscript"/>
                      <w:lang w:eastAsia="sk-SK"/>
                    </w:rPr>
                    <w:t>-1</w:t>
                  </w:r>
                </w:p>
              </w:tc>
            </w:tr>
            <w:tr w:rsidR="00E56EDD" w:rsidTr="00EB551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56EDD" w:rsidRDefault="00E56EDD" w:rsidP="00EB551B">
                  <w:pPr>
                    <w:rPr>
                      <w:rFonts w:ascii="Calibri" w:hAnsi="Calibri" w:cs="Calibri"/>
                      <w:lang w:eastAsia="sk-SK"/>
                    </w:rPr>
                  </w:pPr>
                </w:p>
              </w:tc>
              <w:tc>
                <w:tcPr>
                  <w:tcW w:w="0" w:type="auto"/>
                </w:tcPr>
                <w:p w:rsidR="00E56EDD" w:rsidRDefault="00E56EDD" w:rsidP="00EB551B">
                  <w:pPr>
                    <w:rPr>
                      <w:rFonts w:ascii="Calibri" w:hAnsi="Calibri" w:cs="Calibri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6EDD" w:rsidRDefault="00E56EDD" w:rsidP="00EB551B">
                  <w:pPr>
                    <w:rPr>
                      <w:rFonts w:ascii="Calibri" w:hAnsi="Calibri" w:cs="Calibri"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2019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2020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2021 a nasledujúce roky</w:t>
                  </w:r>
                </w:p>
              </w:tc>
            </w:tr>
            <w:tr w:rsidR="00E56EDD" w:rsidTr="00EB55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x ≤ 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33</w:t>
                  </w:r>
                </w:p>
              </w:tc>
            </w:tr>
            <w:tr w:rsidR="00E56EDD" w:rsidTr="00EB55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10 &lt; x ≤ 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30</w:t>
                  </w:r>
                </w:p>
              </w:tc>
            </w:tr>
            <w:tr w:rsidR="00E56EDD" w:rsidTr="00EB55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Pr="00717BA4" w:rsidRDefault="00E56EDD" w:rsidP="00EB551B">
                  <w:pPr>
                    <w:jc w:val="center"/>
                    <w:rPr>
                      <w:highlight w:val="yellow"/>
                      <w:lang w:eastAsia="sk-SK"/>
                    </w:rPr>
                  </w:pPr>
                  <w:r w:rsidRPr="00717BA4">
                    <w:rPr>
                      <w:highlight w:val="yellow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56EDD" w:rsidRPr="00717BA4" w:rsidRDefault="00E56EDD" w:rsidP="00EB551B">
                  <w:pPr>
                    <w:jc w:val="center"/>
                    <w:rPr>
                      <w:highlight w:val="yellow"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Pr="00717BA4" w:rsidRDefault="00E56EDD" w:rsidP="00EB551B">
                  <w:pPr>
                    <w:jc w:val="center"/>
                    <w:rPr>
                      <w:highlight w:val="yellow"/>
                      <w:lang w:eastAsia="sk-SK"/>
                    </w:rPr>
                  </w:pPr>
                  <w:r w:rsidRPr="00717BA4">
                    <w:rPr>
                      <w:highlight w:val="yellow"/>
                      <w:lang w:eastAsia="sk-SK"/>
                    </w:rPr>
                    <w:t>20 &lt; x ≤ 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Pr="00717BA4" w:rsidRDefault="00E56EDD" w:rsidP="00EB551B">
                  <w:pPr>
                    <w:jc w:val="center"/>
                    <w:rPr>
                      <w:highlight w:val="yellow"/>
                      <w:lang w:eastAsia="sk-SK"/>
                    </w:rPr>
                  </w:pPr>
                  <w:r w:rsidRPr="00717BA4">
                    <w:rPr>
                      <w:highlight w:val="yellow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Pr="00717BA4" w:rsidRDefault="00E56EDD" w:rsidP="00EB551B">
                  <w:pPr>
                    <w:jc w:val="center"/>
                    <w:rPr>
                      <w:highlight w:val="yellow"/>
                      <w:lang w:eastAsia="sk-SK"/>
                    </w:rPr>
                  </w:pPr>
                  <w:r w:rsidRPr="00717BA4">
                    <w:rPr>
                      <w:highlight w:val="yellow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Pr="00717BA4" w:rsidRDefault="00E56EDD" w:rsidP="00EB551B">
                  <w:pPr>
                    <w:jc w:val="center"/>
                    <w:rPr>
                      <w:highlight w:val="yellow"/>
                      <w:lang w:eastAsia="sk-SK"/>
                    </w:rPr>
                  </w:pPr>
                  <w:r w:rsidRPr="00717BA4">
                    <w:rPr>
                      <w:highlight w:val="yellow"/>
                      <w:lang w:eastAsia="sk-SK"/>
                    </w:rPr>
                    <w:t>27</w:t>
                  </w:r>
                </w:p>
              </w:tc>
            </w:tr>
            <w:tr w:rsidR="00E56EDD" w:rsidTr="00EB55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30 &lt; x ≤ 40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22</w:t>
                  </w:r>
                </w:p>
              </w:tc>
            </w:tr>
            <w:tr w:rsidR="00E56EDD" w:rsidTr="00EB55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Pr="00717BA4" w:rsidRDefault="00E56EDD" w:rsidP="00EB551B">
                  <w:pPr>
                    <w:jc w:val="center"/>
                    <w:rPr>
                      <w:lang w:eastAsia="sk-SK"/>
                    </w:rPr>
                  </w:pPr>
                  <w:r w:rsidRPr="00717BA4">
                    <w:rPr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E56EDD" w:rsidRPr="00717BA4" w:rsidRDefault="00E56EDD" w:rsidP="00EB551B">
                  <w:pPr>
                    <w:jc w:val="center"/>
                    <w:rPr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Pr="00717BA4" w:rsidRDefault="00E56EDD" w:rsidP="00EB551B">
                  <w:pPr>
                    <w:jc w:val="center"/>
                    <w:rPr>
                      <w:lang w:eastAsia="sk-SK"/>
                    </w:rPr>
                  </w:pPr>
                  <w:r w:rsidRPr="00717BA4">
                    <w:rPr>
                      <w:lang w:eastAsia="sk-SK"/>
                    </w:rPr>
                    <w:t>40 &lt; x ≤ 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Pr="00717BA4" w:rsidRDefault="00E56EDD" w:rsidP="00EB551B">
                  <w:pPr>
                    <w:jc w:val="center"/>
                    <w:rPr>
                      <w:lang w:eastAsia="sk-SK"/>
                    </w:rPr>
                  </w:pPr>
                  <w:r w:rsidRPr="00717BA4">
                    <w:rPr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Pr="00717BA4" w:rsidRDefault="00E56EDD" w:rsidP="00EB551B">
                  <w:pPr>
                    <w:jc w:val="center"/>
                    <w:rPr>
                      <w:lang w:eastAsia="sk-SK"/>
                    </w:rPr>
                  </w:pPr>
                  <w:r w:rsidRPr="00717BA4">
                    <w:rPr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Pr="00717BA4" w:rsidRDefault="00E56EDD" w:rsidP="00EB551B">
                  <w:pPr>
                    <w:jc w:val="center"/>
                    <w:rPr>
                      <w:lang w:eastAsia="sk-SK"/>
                    </w:rPr>
                  </w:pPr>
                  <w:r w:rsidRPr="00717BA4">
                    <w:rPr>
                      <w:lang w:eastAsia="sk-SK"/>
                    </w:rPr>
                    <w:t>18</w:t>
                  </w:r>
                </w:p>
              </w:tc>
            </w:tr>
            <w:tr w:rsidR="00E56EDD" w:rsidTr="00EB55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50 &lt; x ≤ 60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15</w:t>
                  </w:r>
                </w:p>
              </w:tc>
            </w:tr>
            <w:tr w:rsidR="00E56EDD" w:rsidTr="00EB55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x &gt; 60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6EDD" w:rsidRDefault="00E56EDD" w:rsidP="00EB551B">
                  <w:pPr>
                    <w:jc w:val="center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11</w:t>
                  </w:r>
                </w:p>
              </w:tc>
            </w:tr>
          </w:tbl>
          <w:p w:rsidR="00E56EDD" w:rsidRDefault="00E56EDD" w:rsidP="00EB551B">
            <w:pPr>
              <w:rPr>
                <w:rFonts w:ascii="Calibri" w:hAnsi="Calibri" w:cs="Calibri"/>
                <w:lang w:eastAsia="sk-SK"/>
              </w:rPr>
            </w:pPr>
          </w:p>
        </w:tc>
      </w:tr>
    </w:tbl>
    <w:p w:rsidR="00E56EDD" w:rsidRDefault="00E56EDD" w:rsidP="00E56EDD">
      <w:pPr>
        <w:jc w:val="both"/>
        <w:rPr>
          <w:color w:val="000000" w:themeColor="text1"/>
          <w:sz w:val="28"/>
          <w:szCs w:val="28"/>
        </w:rPr>
      </w:pPr>
    </w:p>
    <w:p w:rsidR="00E56EDD" w:rsidRDefault="00E56EDD" w:rsidP="00E56EDD">
      <w:pPr>
        <w:jc w:val="both"/>
        <w:rPr>
          <w:color w:val="000000" w:themeColor="text1"/>
          <w:sz w:val="28"/>
          <w:szCs w:val="28"/>
        </w:rPr>
      </w:pPr>
    </w:p>
    <w:p w:rsidR="00E56EDD" w:rsidRDefault="00E56EDD" w:rsidP="00E56EDD">
      <w:pPr>
        <w:jc w:val="both"/>
        <w:rPr>
          <w:color w:val="000000" w:themeColor="text1"/>
          <w:sz w:val="28"/>
          <w:szCs w:val="28"/>
        </w:rPr>
      </w:pPr>
      <w:r w:rsidRPr="003A713F">
        <w:rPr>
          <w:b/>
          <w:color w:val="000000" w:themeColor="text1"/>
          <w:sz w:val="28"/>
          <w:szCs w:val="28"/>
        </w:rPr>
        <w:t xml:space="preserve">Preto občania </w:t>
      </w:r>
      <w:r w:rsidR="006C6F5F">
        <w:rPr>
          <w:b/>
          <w:color w:val="000000" w:themeColor="text1"/>
          <w:sz w:val="28"/>
          <w:szCs w:val="28"/>
        </w:rPr>
        <w:t>V</w:t>
      </w:r>
      <w:r w:rsidRPr="003A713F">
        <w:rPr>
          <w:b/>
          <w:color w:val="000000" w:themeColor="text1"/>
          <w:sz w:val="28"/>
          <w:szCs w:val="28"/>
        </w:rPr>
        <w:t>ás vyzývam, trieďme</w:t>
      </w:r>
      <w:r w:rsidR="00671E41">
        <w:rPr>
          <w:b/>
          <w:color w:val="000000" w:themeColor="text1"/>
          <w:sz w:val="28"/>
          <w:szCs w:val="28"/>
        </w:rPr>
        <w:t xml:space="preserve"> </w:t>
      </w:r>
      <w:r w:rsidRPr="003A713F">
        <w:rPr>
          <w:b/>
          <w:color w:val="000000" w:themeColor="text1"/>
          <w:sz w:val="28"/>
          <w:szCs w:val="28"/>
        </w:rPr>
        <w:t>odpad.</w:t>
      </w:r>
      <w:r>
        <w:rPr>
          <w:color w:val="000000" w:themeColor="text1"/>
          <w:sz w:val="28"/>
          <w:szCs w:val="28"/>
        </w:rPr>
        <w:t xml:space="preserve"> Trieďme ho čo najviac a čo najpoctivejšie. Stláčajme ho (najmä plastové fľaše, plechovky pred vyhodením vytlačte všetok vzduch), krabice aj </w:t>
      </w:r>
      <w:proofErr w:type="spellStart"/>
      <w:r>
        <w:rPr>
          <w:color w:val="000000" w:themeColor="text1"/>
          <w:sz w:val="28"/>
          <w:szCs w:val="28"/>
        </w:rPr>
        <w:t>tetrapaky</w:t>
      </w:r>
      <w:proofErr w:type="spellEnd"/>
      <w:r>
        <w:rPr>
          <w:color w:val="000000" w:themeColor="text1"/>
          <w:sz w:val="28"/>
          <w:szCs w:val="28"/>
        </w:rPr>
        <w:t xml:space="preserve"> roztrhajme, aby sa nám </w:t>
      </w:r>
      <w:r w:rsidR="00671E41">
        <w:rPr>
          <w:color w:val="000000" w:themeColor="text1"/>
          <w:sz w:val="28"/>
          <w:szCs w:val="28"/>
        </w:rPr>
        <w:t xml:space="preserve">ich </w:t>
      </w:r>
      <w:r>
        <w:rPr>
          <w:color w:val="000000" w:themeColor="text1"/>
          <w:sz w:val="28"/>
          <w:szCs w:val="28"/>
        </w:rPr>
        <w:t>do nádoby zmestilo čo najviac. Bioodpad do nádoby na komunálny odpad nepatrí, kompostujte ho.</w:t>
      </w:r>
      <w:r w:rsidR="00671E41">
        <w:rPr>
          <w:color w:val="000000" w:themeColor="text1"/>
          <w:sz w:val="28"/>
          <w:szCs w:val="28"/>
        </w:rPr>
        <w:t xml:space="preserve"> Dávame Vám možnosť objednať hnedé nádoby na bio odpad a do obce pribudli ďalšie tri nádoby na </w:t>
      </w:r>
      <w:r w:rsidR="005B7C0E">
        <w:rPr>
          <w:color w:val="000000" w:themeColor="text1"/>
          <w:sz w:val="28"/>
          <w:szCs w:val="28"/>
        </w:rPr>
        <w:t xml:space="preserve">triedený odpad. Ďalších 7 nádob na triedený odpad nám pribudne po dodaní spoločnosťou </w:t>
      </w:r>
      <w:proofErr w:type="spellStart"/>
      <w:r w:rsidR="005B7C0E">
        <w:rPr>
          <w:color w:val="000000" w:themeColor="text1"/>
          <w:sz w:val="28"/>
          <w:szCs w:val="28"/>
        </w:rPr>
        <w:t>Marius</w:t>
      </w:r>
      <w:proofErr w:type="spellEnd"/>
      <w:r w:rsidR="005B7C0E">
        <w:rPr>
          <w:color w:val="000000" w:themeColor="text1"/>
          <w:sz w:val="28"/>
          <w:szCs w:val="28"/>
        </w:rPr>
        <w:t xml:space="preserve"> </w:t>
      </w:r>
      <w:proofErr w:type="spellStart"/>
      <w:r w:rsidR="005B7C0E">
        <w:rPr>
          <w:color w:val="000000" w:themeColor="text1"/>
          <w:sz w:val="28"/>
          <w:szCs w:val="28"/>
        </w:rPr>
        <w:t>Pedersen</w:t>
      </w:r>
      <w:proofErr w:type="spellEnd"/>
      <w:r w:rsidR="005B7C0E">
        <w:rPr>
          <w:color w:val="000000" w:themeColor="text1"/>
          <w:sz w:val="28"/>
          <w:szCs w:val="28"/>
        </w:rPr>
        <w:t xml:space="preserve"> (predpoklad mesiac máj 2019). </w:t>
      </w:r>
      <w:r>
        <w:rPr>
          <w:color w:val="000000" w:themeColor="text1"/>
          <w:sz w:val="28"/>
          <w:szCs w:val="28"/>
        </w:rPr>
        <w:t>Vyvíjame maximálne úsilie, aby s</w:t>
      </w:r>
      <w:r w:rsidR="00671E41">
        <w:rPr>
          <w:color w:val="000000" w:themeColor="text1"/>
          <w:sz w:val="28"/>
          <w:szCs w:val="28"/>
        </w:rPr>
        <w:t>me mohli sprevádzkovať zberný dvor</w:t>
      </w:r>
      <w:r>
        <w:rPr>
          <w:color w:val="000000" w:themeColor="text1"/>
          <w:sz w:val="28"/>
          <w:szCs w:val="28"/>
        </w:rPr>
        <w:t xml:space="preserve">. </w:t>
      </w:r>
    </w:p>
    <w:p w:rsidR="00E56EDD" w:rsidRDefault="00E56EDD" w:rsidP="00E56EDD">
      <w:pPr>
        <w:jc w:val="both"/>
        <w:rPr>
          <w:color w:val="000000" w:themeColor="text1"/>
          <w:sz w:val="28"/>
          <w:szCs w:val="28"/>
        </w:rPr>
      </w:pPr>
    </w:p>
    <w:p w:rsidR="00671E41" w:rsidRDefault="005B7C0E" w:rsidP="00E56E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starosta Obce Zamarovce</w:t>
      </w:r>
    </w:p>
    <w:p w:rsidR="00671E41" w:rsidRDefault="005B7C0E" w:rsidP="00E56E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Mgr. Peter Minárik</w:t>
      </w:r>
    </w:p>
    <w:p w:rsidR="006C6F5F" w:rsidRDefault="006C6F5F" w:rsidP="006C6F5F">
      <w:pPr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20"/>
          <w:u w:val="single"/>
          <w:lang w:eastAsia="en-US"/>
        </w:rPr>
      </w:pPr>
    </w:p>
    <w:p w:rsidR="006C6F5F" w:rsidRDefault="006C6F5F" w:rsidP="006C6F5F">
      <w:pPr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20"/>
          <w:u w:val="single"/>
          <w:lang w:eastAsia="en-US"/>
        </w:rPr>
      </w:pPr>
    </w:p>
    <w:p w:rsidR="006C6F5F" w:rsidRPr="0006619A" w:rsidRDefault="006C6F5F" w:rsidP="006C6F5F">
      <w:pPr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20"/>
          <w:u w:val="single"/>
          <w:lang w:eastAsia="en-US"/>
        </w:rPr>
      </w:pPr>
      <w:r w:rsidRPr="0006619A">
        <w:rPr>
          <w:rFonts w:ascii="Calibri" w:hAnsi="Calibri"/>
          <w:i/>
          <w:color w:val="000000"/>
          <w:sz w:val="20"/>
          <w:u w:val="single"/>
          <w:lang w:eastAsia="en-US"/>
        </w:rPr>
        <w:lastRenderedPageBreak/>
        <w:t xml:space="preserve">Vypĺňať iba v prípade, ak nemáte záujem o bio nádobu a máte svoj vlastný </w:t>
      </w:r>
      <w:proofErr w:type="spellStart"/>
      <w:r w:rsidRPr="0006619A">
        <w:rPr>
          <w:rFonts w:ascii="Calibri" w:hAnsi="Calibri"/>
          <w:i/>
          <w:color w:val="000000"/>
          <w:sz w:val="20"/>
          <w:u w:val="single"/>
          <w:lang w:eastAsia="en-US"/>
        </w:rPr>
        <w:t>kompostovací</w:t>
      </w:r>
      <w:proofErr w:type="spellEnd"/>
      <w:r w:rsidRPr="0006619A">
        <w:rPr>
          <w:rFonts w:ascii="Calibri" w:hAnsi="Calibri"/>
          <w:i/>
          <w:color w:val="000000"/>
          <w:sz w:val="20"/>
          <w:u w:val="single"/>
          <w:lang w:eastAsia="en-US"/>
        </w:rPr>
        <w:t xml:space="preserve"> zásobník !</w:t>
      </w:r>
    </w:p>
    <w:p w:rsidR="006C6F5F" w:rsidRPr="00093652" w:rsidRDefault="006C6F5F" w:rsidP="006C6F5F">
      <w:pPr>
        <w:autoSpaceDE w:val="0"/>
        <w:autoSpaceDN w:val="0"/>
        <w:adjustRightInd w:val="0"/>
        <w:rPr>
          <w:rFonts w:ascii="Calibri" w:hAnsi="Calibri"/>
          <w:color w:val="000000"/>
          <w:sz w:val="20"/>
          <w:lang w:eastAsia="en-US"/>
        </w:rPr>
      </w:pPr>
    </w:p>
    <w:p w:rsidR="006C6F5F" w:rsidRDefault="006C6F5F" w:rsidP="006C6F5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32"/>
          <w:szCs w:val="32"/>
          <w:lang w:eastAsia="en-US"/>
        </w:rPr>
      </w:pPr>
    </w:p>
    <w:p w:rsidR="006C6F5F" w:rsidRDefault="006C6F5F" w:rsidP="006C6F5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32"/>
          <w:szCs w:val="32"/>
          <w:lang w:eastAsia="en-US"/>
        </w:rPr>
      </w:pPr>
    </w:p>
    <w:p w:rsidR="006C6F5F" w:rsidRPr="00093652" w:rsidRDefault="006C6F5F" w:rsidP="006C6F5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32"/>
          <w:szCs w:val="32"/>
          <w:lang w:eastAsia="en-US"/>
        </w:rPr>
      </w:pPr>
      <w:r w:rsidRPr="00093652">
        <w:rPr>
          <w:rFonts w:ascii="Calibri" w:hAnsi="Calibri"/>
          <w:b/>
          <w:bCs/>
          <w:color w:val="000000"/>
          <w:sz w:val="32"/>
          <w:szCs w:val="32"/>
          <w:lang w:eastAsia="en-US"/>
        </w:rPr>
        <w:t>Čestné prehlásenie</w:t>
      </w:r>
    </w:p>
    <w:p w:rsidR="006C6F5F" w:rsidRPr="00093652" w:rsidRDefault="006C6F5F" w:rsidP="006C6F5F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lang w:eastAsia="en-US"/>
        </w:rPr>
      </w:pPr>
      <w:r w:rsidRPr="00093652">
        <w:rPr>
          <w:rFonts w:ascii="Calibri" w:hAnsi="Calibri"/>
          <w:color w:val="000000"/>
          <w:sz w:val="20"/>
          <w:lang w:eastAsia="en-US"/>
        </w:rPr>
        <w:t xml:space="preserve">o kompostovaní biologicky rozložiteľného odpadu zo záhrad pomocou vlastného </w:t>
      </w:r>
      <w:proofErr w:type="spellStart"/>
      <w:r w:rsidRPr="00093652">
        <w:rPr>
          <w:rFonts w:ascii="Calibri" w:hAnsi="Calibri"/>
          <w:color w:val="000000"/>
          <w:sz w:val="20"/>
          <w:lang w:eastAsia="en-US"/>
        </w:rPr>
        <w:t>kompostovacieho</w:t>
      </w:r>
      <w:proofErr w:type="spellEnd"/>
      <w:r w:rsidRPr="00093652">
        <w:rPr>
          <w:rFonts w:ascii="Calibri" w:hAnsi="Calibri"/>
          <w:color w:val="000000"/>
          <w:sz w:val="20"/>
          <w:lang w:eastAsia="en-US"/>
        </w:rPr>
        <w:t xml:space="preserve"> zásobníka</w:t>
      </w:r>
    </w:p>
    <w:p w:rsidR="006C6F5F" w:rsidRPr="00093652" w:rsidRDefault="006C6F5F" w:rsidP="006C6F5F">
      <w:pPr>
        <w:autoSpaceDE w:val="0"/>
        <w:autoSpaceDN w:val="0"/>
        <w:adjustRightInd w:val="0"/>
        <w:rPr>
          <w:rFonts w:ascii="Calibri" w:hAnsi="Calibri"/>
          <w:color w:val="000000"/>
          <w:sz w:val="20"/>
          <w:lang w:eastAsia="en-US"/>
        </w:rPr>
      </w:pPr>
    </w:p>
    <w:p w:rsidR="006C6F5F" w:rsidRPr="00093652" w:rsidRDefault="006C6F5F" w:rsidP="006C6F5F">
      <w:pPr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lang w:eastAsia="en-US"/>
        </w:rPr>
      </w:pPr>
      <w:proofErr w:type="spellStart"/>
      <w:r w:rsidRPr="00093652">
        <w:rPr>
          <w:rFonts w:ascii="Calibri" w:hAnsi="Calibri"/>
          <w:b/>
          <w:bCs/>
          <w:color w:val="000000"/>
          <w:sz w:val="22"/>
          <w:szCs w:val="22"/>
          <w:lang w:eastAsia="en-US"/>
        </w:rPr>
        <w:t>Do</w:t>
      </w:r>
      <w:r w:rsidRPr="00093652">
        <w:rPr>
          <w:rFonts w:ascii="Calibri" w:hAnsi="Calibri"/>
          <w:b/>
          <w:bCs/>
          <w:i/>
          <w:color w:val="000000"/>
          <w:sz w:val="22"/>
          <w:szCs w:val="22"/>
          <w:lang w:eastAsia="en-US"/>
        </w:rPr>
        <w:t>lupodpísaný</w:t>
      </w:r>
      <w:proofErr w:type="spellEnd"/>
      <w:r w:rsidRPr="00093652">
        <w:rPr>
          <w:rFonts w:ascii="Calibri" w:hAnsi="Calibri"/>
          <w:b/>
          <w:bCs/>
          <w:i/>
          <w:color w:val="000000"/>
          <w:sz w:val="22"/>
          <w:szCs w:val="22"/>
          <w:lang w:eastAsia="en-US"/>
        </w:rPr>
        <w:t xml:space="preserve">/á </w:t>
      </w:r>
      <w:r w:rsidRPr="00093652">
        <w:rPr>
          <w:rFonts w:ascii="Calibri" w:hAnsi="Calibri"/>
          <w:i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 , </w:t>
      </w:r>
    </w:p>
    <w:p w:rsidR="006C6F5F" w:rsidRPr="00093652" w:rsidRDefault="006C6F5F" w:rsidP="006C6F5F">
      <w:pPr>
        <w:autoSpaceDE w:val="0"/>
        <w:autoSpaceDN w:val="0"/>
        <w:adjustRightInd w:val="0"/>
        <w:rPr>
          <w:rFonts w:ascii="Calibri" w:hAnsi="Calibri"/>
          <w:b/>
          <w:bCs/>
          <w:i/>
          <w:color w:val="000000"/>
          <w:sz w:val="22"/>
          <w:szCs w:val="22"/>
          <w:lang w:eastAsia="en-US"/>
        </w:rPr>
      </w:pPr>
    </w:p>
    <w:p w:rsidR="006C6F5F" w:rsidRPr="00093652" w:rsidRDefault="006C6F5F" w:rsidP="006C6F5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  <w:r w:rsidRPr="00093652">
        <w:rPr>
          <w:rFonts w:ascii="Calibri" w:hAnsi="Calibri"/>
          <w:b/>
          <w:bCs/>
          <w:i/>
          <w:color w:val="000000"/>
          <w:sz w:val="22"/>
          <w:szCs w:val="22"/>
          <w:lang w:eastAsia="en-US"/>
        </w:rPr>
        <w:t>Rodné</w:t>
      </w:r>
      <w:r w:rsidRPr="00093652">
        <w:rPr>
          <w:rFonts w:ascii="Calibri" w:hAnsi="Calibri"/>
          <w:b/>
          <w:bCs/>
          <w:color w:val="000000"/>
          <w:sz w:val="22"/>
          <w:szCs w:val="22"/>
          <w:lang w:eastAsia="en-US"/>
        </w:rPr>
        <w:t xml:space="preserve"> číslo: </w:t>
      </w:r>
      <w:r w:rsidRPr="00093652">
        <w:rPr>
          <w:rFonts w:ascii="Calibri" w:hAnsi="Calibri"/>
          <w:color w:val="000000"/>
          <w:sz w:val="22"/>
          <w:szCs w:val="22"/>
          <w:lang w:eastAsia="en-US"/>
        </w:rPr>
        <w:t xml:space="preserve">.......................................... , </w:t>
      </w:r>
    </w:p>
    <w:p w:rsidR="006C6F5F" w:rsidRPr="00093652" w:rsidRDefault="006C6F5F" w:rsidP="006C6F5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6C6F5F" w:rsidRPr="00093652" w:rsidRDefault="006C6F5F" w:rsidP="006C6F5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  <w:r w:rsidRPr="00093652">
        <w:rPr>
          <w:rFonts w:ascii="Calibri" w:hAnsi="Calibri"/>
          <w:b/>
          <w:bCs/>
          <w:color w:val="000000"/>
          <w:sz w:val="22"/>
          <w:szCs w:val="22"/>
          <w:lang w:eastAsia="en-US"/>
        </w:rPr>
        <w:t xml:space="preserve">Trvale bytom </w:t>
      </w:r>
      <w:r w:rsidRPr="00093652">
        <w:rPr>
          <w:rFonts w:ascii="Calibri" w:hAnsi="Calibr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 , </w:t>
      </w:r>
    </w:p>
    <w:p w:rsidR="006C6F5F" w:rsidRPr="00093652" w:rsidRDefault="006C6F5F" w:rsidP="006C6F5F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eastAsia="en-US"/>
        </w:rPr>
      </w:pPr>
    </w:p>
    <w:p w:rsidR="006C6F5F" w:rsidRPr="00093652" w:rsidRDefault="006C6F5F" w:rsidP="006C6F5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  <w:r w:rsidRPr="00093652">
        <w:rPr>
          <w:rFonts w:ascii="Calibri" w:hAnsi="Calibri"/>
          <w:b/>
          <w:color w:val="000000"/>
          <w:sz w:val="22"/>
          <w:szCs w:val="22"/>
          <w:lang w:eastAsia="en-US"/>
        </w:rPr>
        <w:t xml:space="preserve">Adresa umiestnenia </w:t>
      </w:r>
      <w:proofErr w:type="spellStart"/>
      <w:r w:rsidRPr="00093652">
        <w:rPr>
          <w:rFonts w:ascii="Calibri" w:hAnsi="Calibri"/>
          <w:b/>
          <w:color w:val="000000"/>
          <w:sz w:val="22"/>
          <w:szCs w:val="22"/>
          <w:lang w:eastAsia="en-US"/>
        </w:rPr>
        <w:t>kompostovacieho</w:t>
      </w:r>
      <w:proofErr w:type="spellEnd"/>
      <w:r w:rsidRPr="00093652">
        <w:rPr>
          <w:rFonts w:ascii="Calibri" w:hAnsi="Calibri"/>
          <w:b/>
          <w:color w:val="000000"/>
          <w:sz w:val="22"/>
          <w:szCs w:val="22"/>
          <w:lang w:eastAsia="en-US"/>
        </w:rPr>
        <w:t xml:space="preserve"> zásobníka</w:t>
      </w:r>
      <w:r w:rsidRPr="00093652">
        <w:rPr>
          <w:rFonts w:ascii="Calibri" w:hAnsi="Calibri"/>
          <w:color w:val="000000"/>
          <w:sz w:val="22"/>
          <w:szCs w:val="22"/>
          <w:lang w:eastAsia="en-US"/>
        </w:rPr>
        <w:t>..........................................................................,</w:t>
      </w:r>
    </w:p>
    <w:p w:rsidR="006C6F5F" w:rsidRPr="00093652" w:rsidRDefault="006C6F5F" w:rsidP="006C6F5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</w:p>
    <w:p w:rsidR="006C6F5F" w:rsidRPr="00093652" w:rsidRDefault="006C6F5F" w:rsidP="006C6F5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  <w:proofErr w:type="spellStart"/>
      <w:r w:rsidRPr="00093652">
        <w:rPr>
          <w:rFonts w:ascii="Calibri" w:hAnsi="Calibri"/>
          <w:color w:val="000000"/>
          <w:sz w:val="22"/>
          <w:szCs w:val="22"/>
          <w:lang w:eastAsia="en-US"/>
        </w:rPr>
        <w:t>Kompostovací</w:t>
      </w:r>
      <w:proofErr w:type="spellEnd"/>
      <w:r w:rsidRPr="00093652">
        <w:rPr>
          <w:rFonts w:ascii="Calibri" w:hAnsi="Calibri"/>
          <w:color w:val="000000"/>
          <w:sz w:val="22"/>
          <w:szCs w:val="22"/>
          <w:lang w:eastAsia="en-US"/>
        </w:rPr>
        <w:t xml:space="preserve"> zásobník v objeme .....</w:t>
      </w:r>
      <w:r>
        <w:rPr>
          <w:rFonts w:ascii="Calibri" w:hAnsi="Calibri"/>
          <w:color w:val="000000"/>
          <w:sz w:val="22"/>
          <w:szCs w:val="22"/>
          <w:lang w:eastAsia="en-US"/>
        </w:rPr>
        <w:t>..</w:t>
      </w:r>
      <w:r w:rsidRPr="00093652">
        <w:rPr>
          <w:rFonts w:ascii="Calibri" w:hAnsi="Calibri"/>
          <w:color w:val="000000"/>
          <w:sz w:val="22"/>
          <w:szCs w:val="22"/>
          <w:lang w:eastAsia="en-US"/>
        </w:rPr>
        <w:t>..... litrov,  pozemok pre údržbu zelene vo výmere ...</w:t>
      </w:r>
      <w:r>
        <w:rPr>
          <w:rFonts w:ascii="Calibri" w:hAnsi="Calibri"/>
          <w:color w:val="000000"/>
          <w:sz w:val="22"/>
          <w:szCs w:val="22"/>
          <w:lang w:eastAsia="en-US"/>
        </w:rPr>
        <w:t>...</w:t>
      </w:r>
      <w:r w:rsidRPr="00093652">
        <w:rPr>
          <w:rFonts w:ascii="Calibri" w:hAnsi="Calibri"/>
          <w:color w:val="000000"/>
          <w:sz w:val="22"/>
          <w:szCs w:val="22"/>
          <w:lang w:eastAsia="en-US"/>
        </w:rPr>
        <w:t>......... m²</w:t>
      </w:r>
    </w:p>
    <w:p w:rsidR="006C6F5F" w:rsidRPr="00093652" w:rsidRDefault="006C6F5F" w:rsidP="006C6F5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</w:p>
    <w:p w:rsidR="006C6F5F" w:rsidRPr="00093652" w:rsidRDefault="006C6F5F" w:rsidP="006C6F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bCs/>
          <w:color w:val="000000"/>
          <w:lang w:eastAsia="en-US"/>
        </w:rPr>
      </w:pPr>
      <w:r w:rsidRPr="00093652">
        <w:rPr>
          <w:rFonts w:ascii="Calibri" w:hAnsi="Calibri"/>
          <w:bCs/>
          <w:color w:val="000000"/>
          <w:lang w:eastAsia="en-US"/>
        </w:rPr>
        <w:t>Týmto</w:t>
      </w:r>
      <w:r w:rsidRPr="00093652">
        <w:rPr>
          <w:rFonts w:ascii="Calibri" w:hAnsi="Calibri"/>
          <w:b/>
          <w:bCs/>
          <w:color w:val="000000"/>
          <w:lang w:eastAsia="en-US"/>
        </w:rPr>
        <w:t xml:space="preserve"> čestne prehlasujem a beriem na vedomie </w:t>
      </w:r>
      <w:r w:rsidRPr="00093652">
        <w:rPr>
          <w:rFonts w:ascii="Calibri" w:hAnsi="Calibri"/>
          <w:bCs/>
          <w:color w:val="000000"/>
          <w:lang w:eastAsia="en-US"/>
        </w:rPr>
        <w:t xml:space="preserve">za všetkých </w:t>
      </w:r>
      <w:r w:rsidR="00734B7E">
        <w:rPr>
          <w:rFonts w:ascii="Calibri" w:hAnsi="Calibri"/>
          <w:bCs/>
          <w:color w:val="000000"/>
          <w:lang w:eastAsia="en-US"/>
        </w:rPr>
        <w:t xml:space="preserve">............ </w:t>
      </w:r>
      <w:r w:rsidRPr="00093652">
        <w:rPr>
          <w:rFonts w:ascii="Calibri" w:hAnsi="Calibri"/>
          <w:bCs/>
          <w:color w:val="000000"/>
          <w:lang w:eastAsia="en-US"/>
        </w:rPr>
        <w:t>členov domácnosti, ktorých som zástupcom, že:</w:t>
      </w:r>
    </w:p>
    <w:p w:rsidR="006C6F5F" w:rsidRPr="00093652" w:rsidRDefault="006C6F5F" w:rsidP="006C6F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lang w:eastAsia="en-US"/>
        </w:rPr>
      </w:pPr>
    </w:p>
    <w:p w:rsidR="006C6F5F" w:rsidRDefault="006C6F5F" w:rsidP="006C6F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lang w:eastAsia="en-US"/>
        </w:rPr>
      </w:pPr>
      <w:r w:rsidRPr="00093652">
        <w:rPr>
          <w:rFonts w:ascii="Calibri" w:hAnsi="Calibri"/>
          <w:bCs/>
          <w:color w:val="000000"/>
          <w:sz w:val="20"/>
          <w:lang w:eastAsia="en-US"/>
        </w:rPr>
        <w:t xml:space="preserve">» na adrese umiestnenia </w:t>
      </w:r>
      <w:proofErr w:type="spellStart"/>
      <w:r w:rsidRPr="00093652">
        <w:rPr>
          <w:rFonts w:ascii="Calibri" w:hAnsi="Calibri"/>
          <w:bCs/>
          <w:color w:val="000000"/>
          <w:sz w:val="20"/>
          <w:lang w:eastAsia="en-US"/>
        </w:rPr>
        <w:t>kompostovacieho</w:t>
      </w:r>
      <w:proofErr w:type="spellEnd"/>
      <w:r w:rsidRPr="00093652">
        <w:rPr>
          <w:rFonts w:ascii="Calibri" w:hAnsi="Calibri"/>
          <w:bCs/>
          <w:color w:val="000000"/>
          <w:sz w:val="20"/>
          <w:lang w:eastAsia="en-US"/>
        </w:rPr>
        <w:t xml:space="preserve"> zásobníka riadne kompostujeme všetok biologicky rozložiteľný odpad z našej domácnosti vo vlastnom </w:t>
      </w:r>
      <w:proofErr w:type="spellStart"/>
      <w:r w:rsidRPr="00093652">
        <w:rPr>
          <w:rFonts w:ascii="Calibri" w:hAnsi="Calibri"/>
          <w:bCs/>
          <w:color w:val="000000"/>
          <w:sz w:val="20"/>
          <w:lang w:eastAsia="en-US"/>
        </w:rPr>
        <w:t>kompostovacom</w:t>
      </w:r>
      <w:proofErr w:type="spellEnd"/>
      <w:r w:rsidRPr="00093652">
        <w:rPr>
          <w:rFonts w:ascii="Calibri" w:hAnsi="Calibri"/>
          <w:bCs/>
          <w:color w:val="000000"/>
          <w:sz w:val="20"/>
          <w:lang w:eastAsia="en-US"/>
        </w:rPr>
        <w:t xml:space="preserve"> zásobníku.</w:t>
      </w:r>
    </w:p>
    <w:p w:rsidR="00734B7E" w:rsidRPr="00093652" w:rsidRDefault="00734B7E" w:rsidP="006C6F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lang w:eastAsia="en-US"/>
        </w:rPr>
      </w:pPr>
    </w:p>
    <w:p w:rsidR="006C6F5F" w:rsidRDefault="00734B7E" w:rsidP="006C6F5F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lang w:eastAsia="en-US"/>
        </w:rPr>
      </w:pPr>
      <w:r w:rsidRPr="00093652">
        <w:rPr>
          <w:rFonts w:ascii="Calibri" w:hAnsi="Calibri"/>
          <w:bCs/>
          <w:color w:val="000000"/>
          <w:sz w:val="20"/>
          <w:lang w:eastAsia="en-US"/>
        </w:rPr>
        <w:t xml:space="preserve">» </w:t>
      </w:r>
      <w:r>
        <w:rPr>
          <w:rFonts w:ascii="Calibri" w:hAnsi="Calibri"/>
          <w:bCs/>
          <w:color w:val="000000"/>
          <w:sz w:val="20"/>
          <w:lang w:eastAsia="en-US"/>
        </w:rPr>
        <w:t>prehlasujem, že budem informovať všetk</w:t>
      </w:r>
      <w:r w:rsidR="006E42C4">
        <w:rPr>
          <w:rFonts w:ascii="Calibri" w:hAnsi="Calibri"/>
          <w:bCs/>
          <w:color w:val="000000"/>
          <w:sz w:val="20"/>
          <w:lang w:eastAsia="en-US"/>
        </w:rPr>
        <w:t>ýc</w:t>
      </w:r>
      <w:bookmarkStart w:id="1" w:name="_GoBack"/>
      <w:bookmarkEnd w:id="1"/>
      <w:r>
        <w:rPr>
          <w:rFonts w:ascii="Calibri" w:hAnsi="Calibri"/>
          <w:bCs/>
          <w:color w:val="000000"/>
          <w:sz w:val="20"/>
          <w:lang w:eastAsia="en-US"/>
        </w:rPr>
        <w:t>h, ktorí žijú so mnou v spoločnej domácnosti a poučím ich o zákonných povinnostiach o nakladaní s biologicky rozložiteľným odpadom a jeho ďalšom využití</w:t>
      </w:r>
      <w:r w:rsidR="00855B06">
        <w:rPr>
          <w:rFonts w:ascii="Calibri" w:hAnsi="Calibri"/>
          <w:bCs/>
          <w:color w:val="000000"/>
          <w:sz w:val="20"/>
          <w:lang w:eastAsia="en-US"/>
        </w:rPr>
        <w:t>.</w:t>
      </w:r>
    </w:p>
    <w:p w:rsidR="00734B7E" w:rsidRPr="00093652" w:rsidRDefault="00734B7E" w:rsidP="006C6F5F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lang w:eastAsia="en-US"/>
        </w:rPr>
      </w:pPr>
    </w:p>
    <w:p w:rsidR="006C6F5F" w:rsidRPr="00093652" w:rsidRDefault="006C6F5F" w:rsidP="006C6F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lang w:eastAsia="en-US"/>
        </w:rPr>
      </w:pPr>
      <w:r w:rsidRPr="00093652">
        <w:rPr>
          <w:rFonts w:ascii="Calibri" w:hAnsi="Calibri"/>
          <w:bCs/>
          <w:color w:val="000000"/>
          <w:sz w:val="20"/>
          <w:lang w:eastAsia="en-US"/>
        </w:rPr>
        <w:t>» som si vedomý skutočnosti, že správca dane a poplatkov má v zmysle zákona oprávnenie vykonávať miestne zisťovanie za účelom preverenia  a zistenia skutočností potrebných na svoje účely.</w:t>
      </w:r>
    </w:p>
    <w:p w:rsidR="006C6F5F" w:rsidRPr="00093652" w:rsidRDefault="006C6F5F" w:rsidP="006C6F5F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lang w:eastAsia="en-US"/>
        </w:rPr>
      </w:pPr>
    </w:p>
    <w:p w:rsidR="006C6F5F" w:rsidRPr="00093652" w:rsidRDefault="006C6F5F" w:rsidP="006C6F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lang w:eastAsia="en-US"/>
        </w:rPr>
      </w:pPr>
      <w:r w:rsidRPr="00093652">
        <w:rPr>
          <w:rFonts w:ascii="Calibri" w:hAnsi="Calibri"/>
          <w:bCs/>
          <w:color w:val="000000"/>
          <w:sz w:val="20"/>
          <w:lang w:eastAsia="en-US"/>
        </w:rPr>
        <w:t>» je zakázané vyhadzovať bioodpady do nádoby na komunálny odpad, nakoľko v zmysle zákona o odpadoch je zakázané skládkovanie bioodpadov. Som si vedomý skutočnosti, že porušenie zákona o odpadoch zakladá skutkovú podstatu priestupku v zmysle § 115 ods.1 písm. b) zákona o odpadoch, pričom výška pokuty  pre  fyzickú osobu je stanovená do výšky 1.500€.</w:t>
      </w:r>
    </w:p>
    <w:p w:rsidR="006C6F5F" w:rsidRPr="00093652" w:rsidRDefault="006C6F5F" w:rsidP="006C6F5F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lang w:eastAsia="en-US"/>
        </w:rPr>
      </w:pPr>
    </w:p>
    <w:p w:rsidR="006C6F5F" w:rsidRPr="00093652" w:rsidRDefault="006C6F5F" w:rsidP="006C6F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lang w:eastAsia="en-US"/>
        </w:rPr>
      </w:pPr>
      <w:r w:rsidRPr="00093652">
        <w:rPr>
          <w:rFonts w:ascii="Calibri" w:hAnsi="Calibri"/>
          <w:b/>
          <w:bCs/>
          <w:color w:val="000000"/>
          <w:sz w:val="20"/>
          <w:lang w:eastAsia="en-US"/>
        </w:rPr>
        <w:t xml:space="preserve">» </w:t>
      </w:r>
      <w:r w:rsidRPr="00093652">
        <w:rPr>
          <w:rFonts w:ascii="Calibri" w:hAnsi="Calibri"/>
          <w:bCs/>
          <w:color w:val="000000"/>
          <w:sz w:val="20"/>
          <w:lang w:eastAsia="en-US"/>
        </w:rPr>
        <w:t xml:space="preserve">v prípade, že sa preukáže, že občan nepostupuje v zmysle tohto prehlásenia, bude povinný si objednať likvidáciu bioodpadu prostredníctvom bio nádoby. </w:t>
      </w:r>
    </w:p>
    <w:p w:rsidR="006C6F5F" w:rsidRPr="00093652" w:rsidRDefault="006C6F5F" w:rsidP="006C6F5F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lang w:eastAsia="en-US"/>
        </w:rPr>
      </w:pPr>
    </w:p>
    <w:p w:rsidR="006C6F5F" w:rsidRPr="00093652" w:rsidRDefault="006C6F5F" w:rsidP="006C6F5F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lang w:eastAsia="en-US"/>
        </w:rPr>
      </w:pPr>
      <w:r w:rsidRPr="00093652">
        <w:rPr>
          <w:rFonts w:ascii="Calibri" w:hAnsi="Calibri"/>
          <w:b/>
          <w:bCs/>
          <w:color w:val="000000"/>
          <w:sz w:val="20"/>
          <w:lang w:eastAsia="en-US"/>
        </w:rPr>
        <w:t xml:space="preserve">» </w:t>
      </w:r>
      <w:r w:rsidRPr="00093652">
        <w:rPr>
          <w:rFonts w:ascii="Calibri" w:hAnsi="Calibri"/>
          <w:bCs/>
          <w:color w:val="000000"/>
          <w:sz w:val="20"/>
          <w:lang w:eastAsia="en-US"/>
        </w:rPr>
        <w:t>toto čestné prehlásenie má platnosť na dobu neurčitú. V prípade zmeny údajov vzniká povinnosť ho aktualizovať do 30 dní.</w:t>
      </w:r>
    </w:p>
    <w:p w:rsidR="006C6F5F" w:rsidRPr="00093652" w:rsidRDefault="006C6F5F" w:rsidP="006C6F5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lang w:eastAsia="en-US"/>
        </w:rPr>
      </w:pPr>
    </w:p>
    <w:p w:rsidR="006C6F5F" w:rsidRPr="00093652" w:rsidRDefault="006C6F5F" w:rsidP="006C6F5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lang w:eastAsia="en-US"/>
        </w:rPr>
      </w:pPr>
      <w:r w:rsidRPr="00093652">
        <w:rPr>
          <w:rFonts w:ascii="Calibri" w:hAnsi="Calibri"/>
          <w:b/>
          <w:bCs/>
          <w:color w:val="000000"/>
          <w:sz w:val="20"/>
          <w:lang w:eastAsia="en-US"/>
        </w:rPr>
        <w:t xml:space="preserve">Som si vedomý/á následkov plynúcich z nepravdivých údajov uvedených v čestnom prehlásení. </w:t>
      </w:r>
    </w:p>
    <w:p w:rsidR="006C6F5F" w:rsidRPr="00093652" w:rsidRDefault="006C6F5F" w:rsidP="006C6F5F">
      <w:pPr>
        <w:rPr>
          <w:rFonts w:ascii="Calibri" w:hAnsi="Calibri"/>
          <w:sz w:val="22"/>
          <w:szCs w:val="22"/>
          <w:lang w:eastAsia="en-US"/>
        </w:rPr>
      </w:pPr>
    </w:p>
    <w:p w:rsidR="006C6F5F" w:rsidRDefault="006C6F5F" w:rsidP="006C6F5F">
      <w:pPr>
        <w:rPr>
          <w:rFonts w:ascii="Calibri" w:hAnsi="Calibri"/>
          <w:sz w:val="22"/>
          <w:szCs w:val="22"/>
          <w:lang w:eastAsia="en-US"/>
        </w:rPr>
      </w:pPr>
    </w:p>
    <w:p w:rsidR="006C6F5F" w:rsidRDefault="006C6F5F" w:rsidP="006C6F5F">
      <w:pPr>
        <w:rPr>
          <w:rFonts w:ascii="Calibri" w:hAnsi="Calibri"/>
          <w:sz w:val="22"/>
          <w:szCs w:val="22"/>
          <w:lang w:eastAsia="en-US"/>
        </w:rPr>
      </w:pPr>
    </w:p>
    <w:p w:rsidR="006C6F5F" w:rsidRDefault="006C6F5F" w:rsidP="006C6F5F">
      <w:pPr>
        <w:rPr>
          <w:rFonts w:ascii="Calibri" w:hAnsi="Calibri"/>
          <w:sz w:val="22"/>
          <w:szCs w:val="22"/>
          <w:lang w:eastAsia="en-US"/>
        </w:rPr>
      </w:pPr>
    </w:p>
    <w:p w:rsidR="006C6F5F" w:rsidRPr="00093652" w:rsidRDefault="006C6F5F" w:rsidP="006C6F5F">
      <w:pPr>
        <w:rPr>
          <w:rFonts w:ascii="Calibri" w:hAnsi="Calibri"/>
          <w:b/>
          <w:bCs/>
          <w:sz w:val="20"/>
          <w:lang w:eastAsia="en-US"/>
        </w:rPr>
      </w:pPr>
      <w:r w:rsidRPr="00093652">
        <w:rPr>
          <w:rFonts w:ascii="Calibri" w:hAnsi="Calibri"/>
          <w:sz w:val="22"/>
          <w:szCs w:val="22"/>
          <w:lang w:eastAsia="en-US"/>
        </w:rPr>
        <w:t>Dátum:</w:t>
      </w:r>
      <w:r w:rsidRPr="00093652">
        <w:rPr>
          <w:rFonts w:ascii="Calibri" w:hAnsi="Calibri"/>
          <w:sz w:val="22"/>
          <w:szCs w:val="22"/>
          <w:lang w:eastAsia="en-US"/>
        </w:rPr>
        <w:tab/>
      </w:r>
      <w:r w:rsidRPr="00093652">
        <w:rPr>
          <w:rFonts w:ascii="Calibri" w:hAnsi="Calibri"/>
          <w:sz w:val="22"/>
          <w:szCs w:val="22"/>
          <w:lang w:eastAsia="en-US"/>
        </w:rPr>
        <w:tab/>
      </w:r>
      <w:r w:rsidRPr="00093652">
        <w:rPr>
          <w:rFonts w:ascii="Calibri" w:hAnsi="Calibri"/>
          <w:sz w:val="22"/>
          <w:szCs w:val="22"/>
          <w:lang w:eastAsia="en-US"/>
        </w:rPr>
        <w:tab/>
      </w:r>
      <w:r w:rsidRPr="00093652">
        <w:rPr>
          <w:rFonts w:ascii="Calibri" w:hAnsi="Calibri"/>
          <w:sz w:val="22"/>
          <w:szCs w:val="22"/>
          <w:lang w:eastAsia="en-US"/>
        </w:rPr>
        <w:tab/>
      </w:r>
      <w:r w:rsidRPr="00093652">
        <w:rPr>
          <w:rFonts w:ascii="Calibri" w:hAnsi="Calibri"/>
          <w:sz w:val="22"/>
          <w:szCs w:val="22"/>
          <w:lang w:eastAsia="en-US"/>
        </w:rPr>
        <w:tab/>
      </w:r>
      <w:r w:rsidRPr="00093652">
        <w:rPr>
          <w:rFonts w:ascii="Calibri" w:hAnsi="Calibri"/>
          <w:sz w:val="22"/>
          <w:szCs w:val="22"/>
          <w:lang w:eastAsia="en-US"/>
        </w:rPr>
        <w:tab/>
      </w:r>
      <w:r w:rsidRPr="00093652">
        <w:rPr>
          <w:rFonts w:ascii="Calibri" w:hAnsi="Calibri"/>
          <w:sz w:val="22"/>
          <w:szCs w:val="22"/>
          <w:lang w:eastAsia="en-US"/>
        </w:rPr>
        <w:tab/>
      </w:r>
      <w:r w:rsidRPr="00093652">
        <w:rPr>
          <w:rFonts w:ascii="Calibri" w:hAnsi="Calibri"/>
          <w:sz w:val="22"/>
          <w:szCs w:val="22"/>
          <w:lang w:eastAsia="en-US"/>
        </w:rPr>
        <w:tab/>
      </w:r>
      <w:r w:rsidRPr="00093652">
        <w:rPr>
          <w:rFonts w:ascii="Calibri" w:hAnsi="Calibri"/>
          <w:sz w:val="22"/>
          <w:szCs w:val="22"/>
          <w:lang w:eastAsia="en-US"/>
        </w:rPr>
        <w:tab/>
        <w:t>Podpis:</w:t>
      </w:r>
      <w:r w:rsidRPr="00093652">
        <w:rPr>
          <w:rFonts w:ascii="Calibri" w:hAnsi="Calibri"/>
          <w:b/>
          <w:bCs/>
          <w:sz w:val="20"/>
          <w:lang w:eastAsia="en-US"/>
        </w:rPr>
        <w:t xml:space="preserve"> </w:t>
      </w:r>
    </w:p>
    <w:p w:rsidR="006C6F5F" w:rsidRDefault="006C6F5F" w:rsidP="00E56EDD">
      <w:pPr>
        <w:jc w:val="both"/>
        <w:rPr>
          <w:color w:val="000000" w:themeColor="text1"/>
          <w:sz w:val="28"/>
          <w:szCs w:val="28"/>
        </w:rPr>
      </w:pPr>
    </w:p>
    <w:sectPr w:rsidR="006C6F5F" w:rsidSect="004023BA">
      <w:footnotePr>
        <w:numRestart w:val="eachPage"/>
      </w:footnotePr>
      <w:endnotePr>
        <w:numFmt w:val="decimal"/>
        <w:numStart w:val="0"/>
      </w:endnotePr>
      <w:pgSz w:w="11906" w:h="16835"/>
      <w:pgMar w:top="1418" w:right="1440" w:bottom="1418" w:left="1440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F7"/>
    <w:rsid w:val="000D327E"/>
    <w:rsid w:val="000D6CFA"/>
    <w:rsid w:val="00194B8F"/>
    <w:rsid w:val="001F0BAA"/>
    <w:rsid w:val="003343EE"/>
    <w:rsid w:val="003B297D"/>
    <w:rsid w:val="00401708"/>
    <w:rsid w:val="00493EAD"/>
    <w:rsid w:val="004965F5"/>
    <w:rsid w:val="00531862"/>
    <w:rsid w:val="0056251B"/>
    <w:rsid w:val="005B34F7"/>
    <w:rsid w:val="005B47F6"/>
    <w:rsid w:val="005B7C0E"/>
    <w:rsid w:val="005D7CB1"/>
    <w:rsid w:val="00622CA4"/>
    <w:rsid w:val="00652149"/>
    <w:rsid w:val="00671E41"/>
    <w:rsid w:val="00676EB7"/>
    <w:rsid w:val="006B7C6C"/>
    <w:rsid w:val="006C6F5F"/>
    <w:rsid w:val="006E42C4"/>
    <w:rsid w:val="00734B7E"/>
    <w:rsid w:val="007D1B35"/>
    <w:rsid w:val="00855B06"/>
    <w:rsid w:val="008B017B"/>
    <w:rsid w:val="008B4C51"/>
    <w:rsid w:val="008C4FB7"/>
    <w:rsid w:val="00947812"/>
    <w:rsid w:val="00A01A92"/>
    <w:rsid w:val="00A754E3"/>
    <w:rsid w:val="00A953B6"/>
    <w:rsid w:val="00B4440B"/>
    <w:rsid w:val="00B87D62"/>
    <w:rsid w:val="00D01777"/>
    <w:rsid w:val="00D21EAD"/>
    <w:rsid w:val="00D24A61"/>
    <w:rsid w:val="00D35975"/>
    <w:rsid w:val="00E0134C"/>
    <w:rsid w:val="00E56EDD"/>
    <w:rsid w:val="00E615B3"/>
    <w:rsid w:val="00EC6AE2"/>
    <w:rsid w:val="00F73A7D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0AF3-FCAA-4A91-AA52-E07679D4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0B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2</cp:revision>
  <cp:lastPrinted>2019-04-24T13:56:00Z</cp:lastPrinted>
  <dcterms:created xsi:type="dcterms:W3CDTF">2019-04-24T14:31:00Z</dcterms:created>
  <dcterms:modified xsi:type="dcterms:W3CDTF">2019-04-24T14:31:00Z</dcterms:modified>
</cp:coreProperties>
</file>